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bCs/>
          <w:sz w:val="20"/>
          <w:szCs w:val="20"/>
        </w:rPr>
      </w:pPr>
      <w:r>
        <w:rPr>
          <w:rFonts w:hint="default" w:ascii="Times New Roman" w:hAnsi="Times New Roman" w:cs="Times New Roman"/>
          <w:b/>
          <w:bCs/>
          <w:sz w:val="20"/>
          <w:szCs w:val="20"/>
          <w:lang w:val="en-US" w:eastAsia="zh-CN"/>
        </w:rPr>
        <w:t>Table 2: The characteristics of the included studies</w:t>
      </w:r>
    </w:p>
    <w:tbl>
      <w:tblPr>
        <w:tblStyle w:val="5"/>
        <w:tblW w:w="21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1552"/>
        <w:gridCol w:w="1365"/>
        <w:gridCol w:w="2304"/>
        <w:gridCol w:w="1584"/>
        <w:gridCol w:w="1584"/>
        <w:gridCol w:w="1584"/>
        <w:gridCol w:w="1669"/>
        <w:gridCol w:w="4100"/>
        <w:gridCol w:w="3384"/>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1" w:type="dxa"/>
          <w:trHeight w:val="307" w:hRule="atLeast"/>
        </w:trPr>
        <w:tc>
          <w:tcPr>
            <w:tcW w:w="1930"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Author, </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publication</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year</w:t>
            </w:r>
          </w:p>
        </w:tc>
        <w:tc>
          <w:tcPr>
            <w:tcW w:w="1552"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Country</w:t>
            </w:r>
          </w:p>
        </w:tc>
        <w:tc>
          <w:tcPr>
            <w:tcW w:w="1365"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Study period</w:t>
            </w:r>
          </w:p>
        </w:tc>
        <w:tc>
          <w:tcPr>
            <w:tcW w:w="2304"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Study design</w:t>
            </w:r>
          </w:p>
        </w:tc>
        <w:tc>
          <w:tcPr>
            <w:tcW w:w="4752" w:type="dxa"/>
            <w:gridSpan w:val="3"/>
            <w:tcBorders>
              <w:left w:val="nil"/>
              <w:right w:val="nil"/>
            </w:tcBorders>
            <w:vAlign w:val="top"/>
          </w:tcPr>
          <w:p>
            <w:pPr>
              <w:widowControl w:val="0"/>
              <w:ind w:firstLine="1405" w:firstLineChars="700"/>
              <w:jc w:val="both"/>
              <w:rPr>
                <w:rFonts w:hint="default" w:ascii="Times New Roman" w:hAnsi="Times New Roman" w:cs="Times New Roman"/>
                <w:b/>
                <w:bCs/>
                <w:sz w:val="20"/>
                <w:szCs w:val="20"/>
              </w:rPr>
            </w:pPr>
            <w:r>
              <w:rPr>
                <w:rFonts w:hint="default" w:ascii="Times New Roman" w:hAnsi="Times New Roman" w:cs="Times New Roman"/>
                <w:b/>
                <w:bCs/>
                <w:sz w:val="20"/>
                <w:szCs w:val="20"/>
              </w:rPr>
              <w:t>Study population</w:t>
            </w:r>
          </w:p>
        </w:tc>
        <w:tc>
          <w:tcPr>
            <w:tcW w:w="1669"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Sepsis onset</w:t>
            </w:r>
          </w:p>
        </w:tc>
        <w:tc>
          <w:tcPr>
            <w:tcW w:w="7484" w:type="dxa"/>
            <w:gridSpan w:val="2"/>
            <w:tcBorders>
              <w:left w:val="nil"/>
              <w:bottom w:val="single" w:color="auto" w:sz="4" w:space="0"/>
              <w:right w:val="nil"/>
            </w:tcBorders>
            <w:vAlign w:val="top"/>
          </w:tcPr>
          <w:p>
            <w:pPr>
              <w:widowControl w:val="0"/>
              <w:ind w:firstLine="1606" w:firstLineChars="800"/>
              <w:jc w:val="both"/>
              <w:rPr>
                <w:rFonts w:hint="default" w:ascii="Times New Roman" w:hAnsi="Times New Roman" w:cs="Times New Roman"/>
                <w:b/>
                <w:bCs/>
                <w:sz w:val="20"/>
                <w:szCs w:val="20"/>
              </w:rPr>
            </w:pPr>
            <w:r>
              <w:rPr>
                <w:rFonts w:hint="default" w:ascii="Times New Roman" w:hAnsi="Times New Roman" w:cs="Times New Roman"/>
                <w:b/>
                <w:bCs/>
                <w:sz w:val="20"/>
                <w:szCs w:val="20"/>
              </w:rPr>
              <w:t>Characteristics and number of patients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930"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1552"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1365"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2304"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1584"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(day)</w:t>
            </w:r>
          </w:p>
          <w:p>
            <w:pPr>
              <w:widowControl w:val="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(sep/Non-sep)</w:t>
            </w:r>
          </w:p>
        </w:tc>
        <w:tc>
          <w:tcPr>
            <w:tcW w:w="1584"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Gestational</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(sep/Non-sep)</w:t>
            </w:r>
            <w:r>
              <w:rPr>
                <w:rFonts w:hint="default" w:ascii="Times New Roman" w:hAnsi="Times New Roman" w:cs="Times New Roman"/>
                <w:b/>
                <w:bCs/>
                <w:sz w:val="20"/>
                <w:szCs w:val="20"/>
              </w:rPr>
              <w:t>(weeks)</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(mean ± SD)</w:t>
            </w:r>
          </w:p>
        </w:tc>
        <w:tc>
          <w:tcPr>
            <w:tcW w:w="1584"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Weight</w:t>
            </w:r>
            <w:r>
              <w:rPr>
                <w:rFonts w:hint="default" w:ascii="Times New Roman" w:hAnsi="Times New Roman" w:cs="Times New Roman"/>
                <w:b/>
                <w:bCs/>
                <w:sz w:val="20"/>
                <w:szCs w:val="20"/>
                <w:lang w:val="en-US" w:eastAsia="zh-CN"/>
              </w:rPr>
              <w:t>(sep/</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lang w:val="en-US" w:eastAsia="zh-CN"/>
              </w:rPr>
              <w:t xml:space="preserve">Non-sep)  </w:t>
            </w:r>
            <w:r>
              <w:rPr>
                <w:rFonts w:hint="default" w:ascii="Times New Roman" w:hAnsi="Times New Roman" w:cs="Times New Roman"/>
                <w:b/>
                <w:bCs/>
                <w:sz w:val="20"/>
                <w:szCs w:val="20"/>
              </w:rPr>
              <w:t>(mean ± SD, g)</w:t>
            </w:r>
          </w:p>
        </w:tc>
        <w:tc>
          <w:tcPr>
            <w:tcW w:w="1669"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4100"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Septic group</w:t>
            </w:r>
          </w:p>
        </w:tc>
        <w:tc>
          <w:tcPr>
            <w:tcW w:w="3385" w:type="dxa"/>
            <w:gridSpan w:val="2"/>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Non-septic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930"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Enguix</w:t>
            </w:r>
            <w:r>
              <w:rPr>
                <w:rFonts w:hint="default" w:ascii="Times New Roman" w:hAnsi="Times New Roman" w:cs="Times New Roman"/>
                <w:i w:val="0"/>
                <w:color w:val="000000"/>
                <w:kern w:val="0"/>
                <w:sz w:val="20"/>
                <w:szCs w:val="20"/>
                <w:u w:val="none"/>
                <w:lang w:val="en-US" w:eastAsia="zh-CN" w:bidi="ar"/>
              </w:rPr>
              <w:t xml:space="preserve"> et al,2001 </w:t>
            </w:r>
            <w:r>
              <w:rPr>
                <w:rFonts w:hint="default" w:ascii="Times New Roman" w:hAnsi="Times New Roman" w:cs="Times New Roman"/>
                <w:b w:val="0"/>
                <w:bCs w:val="0"/>
                <w:i w:val="0"/>
                <w:color w:val="000000"/>
                <w:kern w:val="0"/>
                <w:sz w:val="20"/>
                <w:szCs w:val="20"/>
                <w:u w:val="none"/>
                <w:lang w:val="en-US" w:eastAsia="zh-CN" w:bidi="ar"/>
              </w:rPr>
              <w:t>[18]</w:t>
            </w:r>
          </w:p>
        </w:tc>
        <w:tc>
          <w:tcPr>
            <w:tcW w:w="1552" w:type="dxa"/>
            <w:tcBorders>
              <w:top w:val="single" w:color="auto" w:sz="4" w:space="0"/>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spain</w:t>
            </w:r>
          </w:p>
        </w:tc>
        <w:tc>
          <w:tcPr>
            <w:tcW w:w="1365" w:type="dxa"/>
            <w:tcBorders>
              <w:top w:val="single" w:color="auto" w:sz="4" w:space="0"/>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2304" w:type="dxa"/>
            <w:tcBorders>
              <w:top w:val="single" w:color="auto" w:sz="4" w:space="0"/>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C</w:t>
            </w:r>
            <w:r>
              <w:rPr>
                <w:rFonts w:hint="default" w:ascii="Times New Roman" w:hAnsi="Times New Roman" w:cs="Times New Roman"/>
                <w:sz w:val="20"/>
                <w:szCs w:val="20"/>
                <w:lang w:val="en-US" w:eastAsia="zh-CN"/>
              </w:rPr>
              <w:t>a</w:t>
            </w:r>
            <w:r>
              <w:rPr>
                <w:rFonts w:hint="default" w:ascii="Times New Roman" w:hAnsi="Times New Roman" w:cs="Times New Roman"/>
                <w:sz w:val="20"/>
                <w:szCs w:val="20"/>
              </w:rPr>
              <w:t>se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control study</w:t>
            </w:r>
          </w:p>
        </w:tc>
        <w:tc>
          <w:tcPr>
            <w:tcW w:w="1584" w:type="dxa"/>
            <w:tcBorders>
              <w:top w:val="single" w:color="auto" w:sz="4" w:space="0"/>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3-30</w:t>
            </w:r>
          </w:p>
        </w:tc>
        <w:tc>
          <w:tcPr>
            <w:tcW w:w="1584" w:type="dxa"/>
            <w:tcBorders>
              <w:top w:val="single" w:color="auto" w:sz="4" w:space="0"/>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1584" w:type="dxa"/>
            <w:tcBorders>
              <w:top w:val="single" w:color="auto" w:sz="4" w:space="0"/>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＜2500g : n=2</w:t>
            </w:r>
          </w:p>
        </w:tc>
        <w:tc>
          <w:tcPr>
            <w:tcW w:w="1669" w:type="dxa"/>
            <w:tcBorders>
              <w:top w:val="single" w:color="auto" w:sz="4" w:space="0"/>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single" w:color="auto" w:sz="4" w:space="0"/>
              <w:left w:val="nil"/>
              <w:bottom w:val="nil"/>
              <w:right w:val="nil"/>
            </w:tcBorders>
            <w:vAlign w:val="top"/>
          </w:tcPr>
          <w:p>
            <w:pPr>
              <w:widowControl w:val="0"/>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SIRS and positive blood culture or meni</w:t>
            </w:r>
            <w:r>
              <w:rPr>
                <w:rFonts w:hint="default" w:ascii="Times New Roman" w:hAnsi="Times New Roman" w:cs="Times New Roman"/>
                <w:b w:val="0"/>
                <w:bCs w:val="0"/>
                <w:sz w:val="20"/>
                <w:szCs w:val="20"/>
                <w:lang w:val="en-US" w:eastAsia="zh-CN"/>
              </w:rPr>
              <w:t>n</w:t>
            </w:r>
            <w:r>
              <w:rPr>
                <w:rFonts w:hint="default" w:ascii="Times New Roman" w:hAnsi="Times New Roman" w:cs="Times New Roman"/>
                <w:b w:val="0"/>
                <w:bCs w:val="0"/>
                <w:sz w:val="20"/>
                <w:szCs w:val="20"/>
              </w:rPr>
              <w:t>gococcal rash or recovery with antibiotics: n = 20</w:t>
            </w:r>
          </w:p>
        </w:tc>
        <w:tc>
          <w:tcPr>
            <w:tcW w:w="3385" w:type="dxa"/>
            <w:gridSpan w:val="2"/>
            <w:tcBorders>
              <w:top w:val="single" w:color="auto" w:sz="4" w:space="0"/>
              <w:left w:val="nil"/>
              <w:bottom w:val="nil"/>
              <w:right w:val="nil"/>
            </w:tcBorders>
            <w:vAlign w:val="top"/>
          </w:tcPr>
          <w:p>
            <w:pPr>
              <w:widowControl w:val="0"/>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w:t>
            </w:r>
            <w:r>
              <w:rPr>
                <w:rFonts w:hint="default" w:ascii="Times New Roman" w:hAnsi="Times New Roman" w:cs="Times New Roman"/>
                <w:b w:val="0"/>
                <w:bCs w:val="0"/>
                <w:sz w:val="20"/>
                <w:szCs w:val="20"/>
                <w:lang w:val="en-US" w:eastAsia="zh-CN"/>
              </w:rPr>
              <w:t>e</w:t>
            </w:r>
            <w:r>
              <w:rPr>
                <w:rFonts w:hint="default" w:ascii="Times New Roman" w:hAnsi="Times New Roman" w:cs="Times New Roman"/>
                <w:b w:val="0"/>
                <w:bCs w:val="0"/>
                <w:sz w:val="20"/>
                <w:szCs w:val="20"/>
              </w:rPr>
              <w:t>gative infectious status: n =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3" w:hRule="atLeast"/>
        </w:trPr>
        <w:tc>
          <w:tcPr>
            <w:tcW w:w="1930"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Yang</w:t>
            </w:r>
            <w:r>
              <w:rPr>
                <w:rFonts w:hint="default" w:ascii="Times New Roman" w:hAnsi="Times New Roman" w:cs="Times New Roman"/>
                <w:i w:val="0"/>
                <w:color w:val="000000"/>
                <w:kern w:val="0"/>
                <w:sz w:val="20"/>
                <w:szCs w:val="20"/>
                <w:u w:val="none"/>
                <w:lang w:val="en-US" w:eastAsia="zh-CN" w:bidi="ar"/>
              </w:rPr>
              <w:t xml:space="preserve"> et al,2015</w:t>
            </w:r>
          </w:p>
          <w:p>
            <w:pPr>
              <w:keepNext w:val="0"/>
              <w:keepLines w:val="0"/>
              <w:widowControl/>
              <w:suppressLineNumbers w:val="0"/>
              <w:jc w:val="both"/>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(excluded)</w:t>
            </w:r>
          </w:p>
          <w:p>
            <w:pPr>
              <w:keepNext w:val="0"/>
              <w:keepLines w:val="0"/>
              <w:widowControl/>
              <w:suppressLineNumbers w:val="0"/>
              <w:jc w:val="both"/>
              <w:textAlignment w:val="center"/>
              <w:rPr>
                <w:rFonts w:hint="default" w:ascii="Times New Roman" w:hAnsi="Times New Roman" w:cs="Times New Roman"/>
                <w:i w:val="0"/>
                <w:color w:val="000000"/>
                <w:kern w:val="0"/>
                <w:sz w:val="20"/>
                <w:szCs w:val="20"/>
                <w:u w:val="none"/>
                <w:lang w:val="en-US" w:eastAsia="zh-CN" w:bidi="ar"/>
              </w:rPr>
            </w:pPr>
          </w:p>
        </w:tc>
        <w:tc>
          <w:tcPr>
            <w:tcW w:w="1552" w:type="dxa"/>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China</w:t>
            </w:r>
          </w:p>
        </w:tc>
        <w:tc>
          <w:tcPr>
            <w:tcW w:w="1365"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July,2013 to Dec,2014</w:t>
            </w:r>
          </w:p>
        </w:tc>
        <w:tc>
          <w:tcPr>
            <w:tcW w:w="2304" w:type="dxa"/>
            <w:tcBorders>
              <w:top w:val="nil"/>
              <w:left w:val="nil"/>
              <w:bottom w:val="nil"/>
              <w:right w:val="nil"/>
            </w:tcBorders>
            <w:vAlign w:val="top"/>
          </w:tcPr>
          <w:p>
            <w:pPr>
              <w:widowControl w:val="0"/>
              <w:jc w:val="both"/>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sz w:val="20"/>
                <w:szCs w:val="20"/>
              </w:rPr>
              <w:t>C</w:t>
            </w:r>
            <w:r>
              <w:rPr>
                <w:rFonts w:hint="default" w:ascii="Times New Roman" w:hAnsi="Times New Roman" w:cs="Times New Roman"/>
                <w:sz w:val="20"/>
                <w:szCs w:val="20"/>
                <w:lang w:val="en-US" w:eastAsia="zh-CN"/>
              </w:rPr>
              <w:t>a</w:t>
            </w:r>
            <w:r>
              <w:rPr>
                <w:rFonts w:hint="default" w:ascii="Times New Roman" w:hAnsi="Times New Roman" w:cs="Times New Roman"/>
                <w:sz w:val="20"/>
                <w:szCs w:val="20"/>
              </w:rPr>
              <w:t>se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control study</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17.93±13.31</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 xml:space="preserve"> 18.44±3.87</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34.3±1.8</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 xml:space="preserve">    37.5±1.6</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25</w:t>
            </w:r>
            <w:r>
              <w:rPr>
                <w:rFonts w:hint="default" w:ascii="Times New Roman" w:hAnsi="Times New Roman" w:cs="Times New Roman"/>
                <w:i w:val="0"/>
                <w:color w:val="000000"/>
                <w:kern w:val="0"/>
                <w:sz w:val="20"/>
                <w:szCs w:val="20"/>
                <w:u w:val="none"/>
                <w:lang w:val="en-US" w:eastAsia="zh-CN" w:bidi="ar"/>
              </w:rPr>
              <w:t>00</w:t>
            </w:r>
            <w:r>
              <w:rPr>
                <w:rFonts w:hint="default" w:ascii="Times New Roman" w:hAnsi="Times New Roman" w:eastAsia="宋体" w:cs="Times New Roman"/>
                <w:i w:val="0"/>
                <w:color w:val="000000"/>
                <w:kern w:val="0"/>
                <w:sz w:val="20"/>
                <w:szCs w:val="20"/>
                <w:u w:val="none"/>
                <w:lang w:val="en-US" w:eastAsia="zh-CN" w:bidi="ar"/>
              </w:rPr>
              <w:t>±</w:t>
            </w:r>
            <w:r>
              <w:rPr>
                <w:rFonts w:hint="default" w:ascii="Times New Roman" w:hAnsi="Times New Roman" w:cs="Times New Roman"/>
                <w:i w:val="0"/>
                <w:color w:val="000000"/>
                <w:kern w:val="0"/>
                <w:sz w:val="20"/>
                <w:szCs w:val="20"/>
                <w:u w:val="none"/>
                <w:lang w:val="en-US" w:eastAsia="zh-CN" w:bidi="ar"/>
              </w:rPr>
              <w:t>300/</w:t>
            </w:r>
          </w:p>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2</w:t>
            </w:r>
            <w:r>
              <w:rPr>
                <w:rFonts w:hint="default" w:ascii="Times New Roman" w:hAnsi="Times New Roman" w:cs="Times New Roman"/>
                <w:i w:val="0"/>
                <w:color w:val="000000"/>
                <w:kern w:val="0"/>
                <w:sz w:val="20"/>
                <w:szCs w:val="20"/>
                <w:u w:val="none"/>
                <w:lang w:val="en-US" w:eastAsia="zh-CN" w:bidi="ar"/>
              </w:rPr>
              <w:t>900</w:t>
            </w:r>
            <w:r>
              <w:rPr>
                <w:rFonts w:hint="default" w:ascii="Times New Roman" w:hAnsi="Times New Roman" w:eastAsia="宋体" w:cs="Times New Roman"/>
                <w:i w:val="0"/>
                <w:color w:val="000000"/>
                <w:kern w:val="0"/>
                <w:sz w:val="20"/>
                <w:szCs w:val="20"/>
                <w:u w:val="none"/>
                <w:lang w:val="en-US" w:eastAsia="zh-CN" w:bidi="ar"/>
              </w:rPr>
              <w:t>±</w:t>
            </w:r>
            <w:r>
              <w:rPr>
                <w:rFonts w:hint="default" w:ascii="Times New Roman" w:hAnsi="Times New Roman" w:cs="Times New Roman"/>
                <w:i w:val="0"/>
                <w:color w:val="000000"/>
                <w:kern w:val="0"/>
                <w:sz w:val="20"/>
                <w:szCs w:val="20"/>
                <w:u w:val="none"/>
                <w:lang w:val="en-US" w:eastAsia="zh-CN" w:bidi="ar"/>
              </w:rPr>
              <w:t>330</w:t>
            </w:r>
          </w:p>
        </w:tc>
        <w:tc>
          <w:tcPr>
            <w:tcW w:w="1669" w:type="dxa"/>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nil"/>
              <w:left w:val="nil"/>
              <w:bottom w:val="nil"/>
              <w:right w:val="nil"/>
            </w:tcBorders>
            <w:vAlign w:val="top"/>
          </w:tcPr>
          <w:p>
            <w:pPr>
              <w:widowControl w:val="0"/>
              <w:jc w:val="both"/>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Positive blood culture and the clinical features and symptoms suggestive of clinical sepsis:n=60</w:t>
            </w:r>
          </w:p>
          <w:p>
            <w:pPr>
              <w:widowControl w:val="0"/>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lang w:val="en-US" w:eastAsia="zh-CN"/>
              </w:rPr>
              <w:t xml:space="preserve"> </w:t>
            </w:r>
          </w:p>
        </w:tc>
        <w:tc>
          <w:tcPr>
            <w:tcW w:w="3385" w:type="dxa"/>
            <w:gridSpan w:val="2"/>
            <w:tcBorders>
              <w:top w:val="nil"/>
              <w:left w:val="nil"/>
              <w:bottom w:val="nil"/>
              <w:right w:val="nil"/>
            </w:tcBorders>
            <w:vAlign w:val="top"/>
          </w:tcPr>
          <w:p>
            <w:pPr>
              <w:widowControl w:val="0"/>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They were not suspected of being clinically septic and had normal physical examination findings</w:t>
            </w:r>
            <w:r>
              <w:rPr>
                <w:rFonts w:hint="default" w:ascii="Times New Roman" w:hAnsi="Times New Roman" w:cs="Times New Roman"/>
                <w:b w:val="0"/>
                <w:bCs w:val="0"/>
                <w:sz w:val="20"/>
                <w:szCs w:val="20"/>
                <w:lang w:val="en-US" w:eastAsia="zh-CN"/>
              </w:rPr>
              <w:t>: n=60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4" w:hRule="atLeast"/>
        </w:trPr>
        <w:tc>
          <w:tcPr>
            <w:tcW w:w="1930"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Franz et al</w:t>
            </w:r>
            <w:r>
              <w:rPr>
                <w:rFonts w:hint="default" w:ascii="Times New Roman" w:hAnsi="Times New Roman" w:cs="Times New Roman"/>
                <w:i w:val="0"/>
                <w:color w:val="000000"/>
                <w:kern w:val="0"/>
                <w:sz w:val="20"/>
                <w:szCs w:val="20"/>
                <w:u w:val="none"/>
                <w:lang w:val="en-US" w:eastAsia="zh-CN" w:bidi="ar"/>
              </w:rPr>
              <w:t xml:space="preserve">,1999 </w:t>
            </w:r>
            <w:r>
              <w:rPr>
                <w:rFonts w:hint="default" w:ascii="Times New Roman" w:hAnsi="Times New Roman" w:cs="Times New Roman"/>
                <w:b w:val="0"/>
                <w:bCs w:val="0"/>
                <w:i w:val="0"/>
                <w:color w:val="000000"/>
                <w:kern w:val="0"/>
                <w:sz w:val="20"/>
                <w:szCs w:val="20"/>
                <w:u w:val="none"/>
                <w:lang w:val="en-US" w:eastAsia="zh-CN" w:bidi="ar"/>
              </w:rPr>
              <w:t>[19]</w:t>
            </w:r>
          </w:p>
        </w:tc>
        <w:tc>
          <w:tcPr>
            <w:tcW w:w="1552"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Germany</w:t>
            </w:r>
          </w:p>
        </w:tc>
        <w:tc>
          <w:tcPr>
            <w:tcW w:w="1365"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June</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1997</w:t>
            </w:r>
            <w:r>
              <w:rPr>
                <w:rFonts w:hint="default" w:ascii="Times New Roman" w:hAnsi="Times New Roman" w:cs="Times New Roman"/>
                <w:sz w:val="20"/>
                <w:szCs w:val="20"/>
                <w:lang w:val="en-US" w:eastAsia="zh-CN"/>
              </w:rPr>
              <w:t xml:space="preserve"> to </w:t>
            </w:r>
            <w:r>
              <w:rPr>
                <w:rFonts w:hint="default" w:ascii="Times New Roman" w:hAnsi="Times New Roman" w:cs="Times New Roman"/>
                <w:sz w:val="20"/>
                <w:szCs w:val="20"/>
              </w:rPr>
              <w:t>F</w:t>
            </w:r>
            <w:r>
              <w:rPr>
                <w:rFonts w:hint="default" w:ascii="Times New Roman" w:hAnsi="Times New Roman" w:cs="Times New Roman"/>
                <w:sz w:val="20"/>
                <w:szCs w:val="20"/>
                <w:lang w:val="en-US" w:eastAsia="zh-CN"/>
              </w:rPr>
              <w:t>eb</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1998</w:t>
            </w:r>
          </w:p>
        </w:tc>
        <w:tc>
          <w:tcPr>
            <w:tcW w:w="2304"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Prospective cohort</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study</w:t>
            </w:r>
          </w:p>
        </w:tc>
        <w:tc>
          <w:tcPr>
            <w:tcW w:w="1584" w:type="dxa"/>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33±9 52 infants &lt;30 weeks</w:t>
            </w:r>
          </w:p>
        </w:tc>
        <w:tc>
          <w:tcPr>
            <w:tcW w:w="1584" w:type="dxa"/>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1669" w:type="dxa"/>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nil"/>
              <w:left w:val="nil"/>
              <w:bottom w:val="nil"/>
              <w:right w:val="nil"/>
            </w:tcBorders>
            <w:vAlign w:val="top"/>
          </w:tcPr>
          <w:p>
            <w:pPr>
              <w:widowControl w:val="0"/>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Culture-proved BI (≥1 clinical sign compatible</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with BI and positive blood culture): n = 9</w:t>
            </w:r>
          </w:p>
          <w:p>
            <w:pPr>
              <w:widowControl w:val="0"/>
              <w:jc w:val="both"/>
              <w:rPr>
                <w:rFonts w:hint="default" w:ascii="Times New Roman" w:hAnsi="Times New Roman" w:cs="Times New Roman"/>
                <w:b w:val="0"/>
                <w:bCs w:val="0"/>
                <w:sz w:val="20"/>
                <w:szCs w:val="20"/>
              </w:rPr>
            </w:pPr>
          </w:p>
          <w:p>
            <w:pPr>
              <w:widowControl w:val="0"/>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Clinical BI (≥1 clinical sign compatible with</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BI and a CRP[&gt;10 mg/l at 12–60 h after the</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first blood sample was taken): n = 37</w:t>
            </w:r>
          </w:p>
        </w:tc>
        <w:tc>
          <w:tcPr>
            <w:tcW w:w="3385" w:type="dxa"/>
            <w:gridSpan w:val="2"/>
            <w:tcBorders>
              <w:top w:val="nil"/>
              <w:left w:val="nil"/>
              <w:bottom w:val="nil"/>
              <w:right w:val="nil"/>
            </w:tcBorders>
            <w:vAlign w:val="top"/>
          </w:tcPr>
          <w:p>
            <w:pPr>
              <w:widowControl w:val="0"/>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No evidence of BI: n = 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8" w:hRule="atLeast"/>
        </w:trPr>
        <w:tc>
          <w:tcPr>
            <w:tcW w:w="1930"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sz w:val="20"/>
                <w:szCs w:val="20"/>
              </w:rPr>
              <w:t>Blommendahl et al</w:t>
            </w:r>
            <w:r>
              <w:rPr>
                <w:rFonts w:hint="default" w:ascii="Times New Roman" w:hAnsi="Times New Roman" w:cs="Times New Roman"/>
                <w:sz w:val="20"/>
                <w:szCs w:val="20"/>
                <w:lang w:val="en-US" w:eastAsia="zh-CN"/>
              </w:rPr>
              <w:t xml:space="preserve">, 2002 </w:t>
            </w:r>
            <w:r>
              <w:rPr>
                <w:rFonts w:hint="default" w:ascii="Times New Roman" w:hAnsi="Times New Roman" w:cs="Times New Roman"/>
                <w:b w:val="0"/>
                <w:bCs w:val="0"/>
                <w:i w:val="0"/>
                <w:color w:val="000000"/>
                <w:kern w:val="0"/>
                <w:sz w:val="20"/>
                <w:szCs w:val="20"/>
                <w:u w:val="none"/>
                <w:lang w:val="en-US" w:eastAsia="zh-CN" w:bidi="ar"/>
              </w:rPr>
              <w:t>[20]</w:t>
            </w:r>
          </w:p>
        </w:tc>
        <w:tc>
          <w:tcPr>
            <w:tcW w:w="1552"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Finland</w:t>
            </w:r>
          </w:p>
        </w:tc>
        <w:tc>
          <w:tcPr>
            <w:tcW w:w="1365"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June,1997</w:t>
            </w:r>
            <w:r>
              <w:rPr>
                <w:rFonts w:hint="default" w:ascii="Times New Roman" w:hAnsi="Times New Roman" w:cs="Times New Roman"/>
                <w:sz w:val="20"/>
                <w:szCs w:val="20"/>
                <w:lang w:val="en-US" w:eastAsia="zh-CN"/>
              </w:rPr>
              <w:t xml:space="preserve"> to </w:t>
            </w:r>
            <w:r>
              <w:rPr>
                <w:rFonts w:hint="default" w:ascii="Times New Roman" w:hAnsi="Times New Roman" w:cs="Times New Roman"/>
                <w:sz w:val="20"/>
                <w:szCs w:val="20"/>
              </w:rPr>
              <w:t>January,1999</w:t>
            </w:r>
          </w:p>
        </w:tc>
        <w:tc>
          <w:tcPr>
            <w:tcW w:w="2304"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Prospective cohort</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study</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NA</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37.7</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3090</w:t>
            </w:r>
          </w:p>
        </w:tc>
        <w:tc>
          <w:tcPr>
            <w:tcW w:w="1669" w:type="dxa"/>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nil"/>
              <w:left w:val="nil"/>
              <w:bottom w:val="nil"/>
              <w:right w:val="nil"/>
            </w:tcBorders>
            <w:vAlign w:val="top"/>
          </w:tcPr>
          <w:p>
            <w:pPr>
              <w:widowControl w:val="0"/>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Positive blood culture and clinical symptoms:</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n = 13</w:t>
            </w:r>
          </w:p>
          <w:p>
            <w:pPr>
              <w:widowControl w:val="0"/>
              <w:jc w:val="both"/>
              <w:rPr>
                <w:rFonts w:hint="default" w:ascii="Times New Roman" w:hAnsi="Times New Roman" w:cs="Times New Roman"/>
                <w:b w:val="0"/>
                <w:bCs w:val="0"/>
                <w:sz w:val="20"/>
                <w:szCs w:val="20"/>
              </w:rPr>
            </w:pPr>
          </w:p>
          <w:p>
            <w:pPr>
              <w:widowControl w:val="0"/>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Negative blood culture and clinical symptoms:</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n = 156</w:t>
            </w:r>
          </w:p>
        </w:tc>
        <w:tc>
          <w:tcPr>
            <w:tcW w:w="3385" w:type="dxa"/>
            <w:gridSpan w:val="2"/>
            <w:tcBorders>
              <w:top w:val="nil"/>
              <w:left w:val="nil"/>
              <w:bottom w:val="nil"/>
              <w:right w:val="nil"/>
            </w:tcBorders>
            <w:vAlign w:val="top"/>
          </w:tcPr>
          <w:p>
            <w:pPr>
              <w:widowControl w:val="0"/>
              <w:jc w:val="both"/>
              <w:rPr>
                <w:rFonts w:hint="default" w:ascii="Times New Roman" w:hAnsi="Times New Roman" w:eastAsia="宋体" w:cs="Times New Roman"/>
                <w:b w:val="0"/>
                <w:bCs w:val="0"/>
                <w:sz w:val="20"/>
                <w:szCs w:val="20"/>
                <w:lang w:val="en-US" w:eastAsia="zh-CN"/>
              </w:rPr>
            </w:pPr>
            <w:r>
              <w:rPr>
                <w:rFonts w:hint="default" w:ascii="Times New Roman" w:hAnsi="Times New Roman" w:cs="Times New Roman"/>
                <w:b w:val="0"/>
                <w:bCs w:val="0"/>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4" w:hRule="atLeast"/>
        </w:trPr>
        <w:tc>
          <w:tcPr>
            <w:tcW w:w="1930" w:type="dxa"/>
            <w:tcBorders>
              <w:top w:val="nil"/>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sz w:val="20"/>
                <w:szCs w:val="20"/>
              </w:rPr>
              <w:t>Chiesa et al</w:t>
            </w:r>
            <w:r>
              <w:rPr>
                <w:rFonts w:hint="default" w:ascii="Times New Roman" w:hAnsi="Times New Roman" w:cs="Times New Roman"/>
                <w:sz w:val="20"/>
                <w:szCs w:val="20"/>
                <w:lang w:val="en-US" w:eastAsia="zh-CN"/>
              </w:rPr>
              <w:t xml:space="preserve">,2003 </w:t>
            </w:r>
            <w:r>
              <w:rPr>
                <w:rFonts w:hint="default" w:ascii="Times New Roman" w:hAnsi="Times New Roman" w:cs="Times New Roman"/>
                <w:b w:val="0"/>
                <w:bCs w:val="0"/>
                <w:i w:val="0"/>
                <w:color w:val="000000"/>
                <w:kern w:val="0"/>
                <w:sz w:val="20"/>
                <w:szCs w:val="20"/>
                <w:u w:val="none"/>
                <w:lang w:val="en-US" w:eastAsia="zh-CN" w:bidi="ar"/>
              </w:rPr>
              <w:t>[1]</w:t>
            </w:r>
          </w:p>
        </w:tc>
        <w:tc>
          <w:tcPr>
            <w:tcW w:w="1552" w:type="dxa"/>
            <w:tcBorders>
              <w:top w:val="nil"/>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Italy</w:t>
            </w:r>
          </w:p>
        </w:tc>
        <w:tc>
          <w:tcPr>
            <w:tcW w:w="1365" w:type="dxa"/>
            <w:tcBorders>
              <w:top w:val="nil"/>
              <w:left w:val="nil"/>
              <w:bottom w:val="single" w:color="auto" w:sz="4" w:space="0"/>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July</w:t>
            </w:r>
            <w:r>
              <w:rPr>
                <w:rFonts w:hint="default" w:ascii="Times New Roman" w:hAnsi="Times New Roman" w:cs="Times New Roman"/>
                <w:sz w:val="20"/>
                <w:szCs w:val="20"/>
                <w:lang w:val="en-US" w:eastAsia="zh-CN"/>
              </w:rPr>
              <w:t xml:space="preserve">,2001 to </w:t>
            </w:r>
            <w:r>
              <w:rPr>
                <w:rFonts w:hint="default" w:ascii="Times New Roman" w:hAnsi="Times New Roman" w:cs="Times New Roman"/>
                <w:sz w:val="20"/>
                <w:szCs w:val="20"/>
              </w:rPr>
              <w:t>Dec</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2001</w:t>
            </w:r>
          </w:p>
        </w:tc>
        <w:tc>
          <w:tcPr>
            <w:tcW w:w="2304" w:type="dxa"/>
            <w:tcBorders>
              <w:top w:val="nil"/>
              <w:left w:val="nil"/>
              <w:bottom w:val="single" w:color="auto" w:sz="4" w:space="0"/>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Prospective cohort</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study</w:t>
            </w:r>
          </w:p>
        </w:tc>
        <w:tc>
          <w:tcPr>
            <w:tcW w:w="1584" w:type="dxa"/>
            <w:tcBorders>
              <w:top w:val="nil"/>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NA</w:t>
            </w:r>
          </w:p>
        </w:tc>
        <w:tc>
          <w:tcPr>
            <w:tcW w:w="1584" w:type="dxa"/>
            <w:tcBorders>
              <w:top w:val="nil"/>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33.8 ± 4.3</w:t>
            </w:r>
          </w:p>
        </w:tc>
        <w:tc>
          <w:tcPr>
            <w:tcW w:w="1584" w:type="dxa"/>
            <w:tcBorders>
              <w:top w:val="nil"/>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2153 ± 903</w:t>
            </w:r>
          </w:p>
        </w:tc>
        <w:tc>
          <w:tcPr>
            <w:tcW w:w="1669" w:type="dxa"/>
            <w:tcBorders>
              <w:top w:val="nil"/>
              <w:left w:val="nil"/>
              <w:bottom w:val="single" w:color="auto" w:sz="4" w:space="0"/>
              <w:right w:val="nil"/>
            </w:tcBorders>
            <w:vAlign w:val="top"/>
          </w:tcPr>
          <w:p>
            <w:pPr>
              <w:widowControl w:val="0"/>
              <w:jc w:val="both"/>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EOS</w:t>
            </w:r>
            <w:r>
              <w:rPr>
                <w:rFonts w:hint="default" w:ascii="Times New Roman" w:hAnsi="Times New Roman" w:cs="Times New Roman"/>
                <w:sz w:val="20"/>
                <w:szCs w:val="20"/>
                <w:lang w:val="en-US" w:eastAsia="zh-CN"/>
              </w:rPr>
              <w:t>:19</w:t>
            </w:r>
          </w:p>
        </w:tc>
        <w:tc>
          <w:tcPr>
            <w:tcW w:w="4100" w:type="dxa"/>
            <w:tcBorders>
              <w:top w:val="nil"/>
              <w:left w:val="nil"/>
              <w:bottom w:val="single" w:color="auto" w:sz="4" w:space="0"/>
              <w:right w:val="nil"/>
            </w:tcBorders>
            <w:vAlign w:val="top"/>
          </w:tcPr>
          <w:p>
            <w:pPr>
              <w:widowControl w:val="0"/>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Blood culture positive and definite, persistent</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clinical signs of sepsis prompting ≥5 days of</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antibiotic treatment: n = 11</w:t>
            </w:r>
          </w:p>
          <w:p>
            <w:pPr>
              <w:widowControl w:val="0"/>
              <w:jc w:val="both"/>
              <w:rPr>
                <w:rFonts w:hint="default" w:ascii="Times New Roman" w:hAnsi="Times New Roman" w:cs="Times New Roman"/>
                <w:b w:val="0"/>
                <w:bCs w:val="0"/>
                <w:sz w:val="20"/>
                <w:szCs w:val="20"/>
                <w:lang w:val="en-US" w:eastAsia="zh-CN"/>
              </w:rPr>
            </w:pPr>
          </w:p>
          <w:p>
            <w:pPr>
              <w:widowControl w:val="0"/>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Blood culture negative and definite,</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persistent clinical signs of sepsis prompting</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≥5 days of antibiotic treatment: n = 8</w:t>
            </w:r>
          </w:p>
          <w:p>
            <w:pPr>
              <w:widowControl w:val="0"/>
              <w:jc w:val="both"/>
              <w:rPr>
                <w:rFonts w:hint="default" w:ascii="Times New Roman" w:hAnsi="Times New Roman" w:cs="Times New Roman"/>
                <w:b w:val="0"/>
                <w:bCs w:val="0"/>
                <w:sz w:val="20"/>
                <w:szCs w:val="20"/>
                <w:lang w:val="en-US" w:eastAsia="zh-CN"/>
              </w:rPr>
            </w:pPr>
          </w:p>
          <w:p>
            <w:pPr>
              <w:widowControl w:val="0"/>
              <w:jc w:val="both"/>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rPr>
              <w:t>Uncertain (systemic infection could be neither</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confirmed nor exclud</w:t>
            </w:r>
            <w:r>
              <w:rPr>
                <w:rFonts w:hint="default" w:ascii="Times New Roman" w:hAnsi="Times New Roman" w:cs="Times New Roman"/>
                <w:b w:val="0"/>
                <w:bCs w:val="0"/>
                <w:sz w:val="20"/>
                <w:szCs w:val="20"/>
                <w:lang w:val="en-US" w:eastAsia="zh-CN"/>
              </w:rPr>
              <w:t>ed)</w:t>
            </w:r>
            <w:r>
              <w:rPr>
                <w:rFonts w:hint="default" w:ascii="Times New Roman" w:hAnsi="Times New Roman" w:cs="Times New Roman"/>
                <w:b w:val="0"/>
                <w:bCs w:val="0"/>
                <w:sz w:val="20"/>
                <w:szCs w:val="20"/>
              </w:rPr>
              <w:t>: n = 20</w:t>
            </w:r>
          </w:p>
        </w:tc>
        <w:tc>
          <w:tcPr>
            <w:tcW w:w="3385" w:type="dxa"/>
            <w:gridSpan w:val="2"/>
            <w:tcBorders>
              <w:top w:val="nil"/>
              <w:left w:val="nil"/>
              <w:bottom w:val="single" w:color="auto" w:sz="4" w:space="0"/>
              <w:right w:val="nil"/>
            </w:tcBorders>
            <w:vAlign w:val="top"/>
          </w:tcPr>
          <w:p>
            <w:pPr>
              <w:widowControl w:val="0"/>
              <w:jc w:val="both"/>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Symptomatic babies with negative</w:t>
            </w:r>
          </w:p>
          <w:p>
            <w:pPr>
              <w:widowControl w:val="0"/>
              <w:jc w:val="both"/>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rPr>
              <w:t>body fluid cultures, apparently</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well within 24–48h and had a</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benign clinical course until</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discharge and antibiotic</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treatment for ≤3 days: n = 115</w:t>
            </w:r>
          </w:p>
        </w:tc>
      </w:tr>
    </w:tbl>
    <w:p>
      <w:pPr>
        <w:rPr>
          <w:rFonts w:hint="default" w:ascii="Times New Roman" w:hAnsi="Times New Roman" w:eastAsia="宋体" w:cs="Times New Roman"/>
          <w:sz w:val="20"/>
          <w:szCs w:val="20"/>
          <w:lang w:val="en-US" w:eastAsia="zh-CN"/>
        </w:rPr>
        <w:sectPr>
          <w:pgSz w:w="23757" w:h="16783"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cs="Times New Roman"/>
          <w:sz w:val="20"/>
          <w:szCs w:val="20"/>
        </w:rPr>
        <w:t>EOS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early onset sepsis, LOS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late-onset sepsis</w:t>
      </w:r>
      <w:r>
        <w:rPr>
          <w:rFonts w:hint="default" w:ascii="Times New Roman" w:hAnsi="Times New Roman" w:cs="Times New Roman"/>
          <w:sz w:val="20"/>
          <w:szCs w:val="20"/>
          <w:lang w:val="en-US" w:eastAsia="zh-CN"/>
        </w:rPr>
        <w:t xml:space="preserve">, BI: bacterial infection, </w:t>
      </w:r>
      <w:r>
        <w:rPr>
          <w:rFonts w:hint="default" w:ascii="Times New Roman" w:hAnsi="Times New Roman" w:cs="Times New Roman"/>
          <w:sz w:val="20"/>
          <w:szCs w:val="20"/>
        </w:rPr>
        <w:t>SIRS</w:t>
      </w:r>
      <w:r>
        <w:rPr>
          <w:rFonts w:hint="default" w:ascii="Times New Roman" w:hAnsi="Times New Roman" w:cs="Times New Roman"/>
          <w:sz w:val="20"/>
          <w:szCs w:val="20"/>
          <w:lang w:val="en-US" w:eastAsia="zh-CN"/>
        </w:rPr>
        <w:t>:Systemic Inflammatory Response Syndrome</w:t>
      </w:r>
    </w:p>
    <w:p>
      <w:pPr>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Table </w:t>
      </w:r>
      <w:r>
        <w:rPr>
          <w:rFonts w:hint="default" w:ascii="Times New Roman" w:hAnsi="Times New Roman" w:cs="Times New Roman"/>
          <w:b/>
          <w:bCs/>
          <w:sz w:val="20"/>
          <w:szCs w:val="20"/>
          <w:lang w:val="en-US" w:eastAsia="zh-CN"/>
        </w:rPr>
        <w:t>2</w:t>
      </w:r>
      <w:r>
        <w:rPr>
          <w:rFonts w:hint="default" w:ascii="Times New Roman" w:hAnsi="Times New Roman" w:cs="Times New Roman"/>
          <w:b/>
          <w:bCs/>
          <w:sz w:val="20"/>
          <w:szCs w:val="20"/>
        </w:rPr>
        <w:t xml:space="preserve"> continued</w:t>
      </w:r>
    </w:p>
    <w:tbl>
      <w:tblPr>
        <w:tblStyle w:val="5"/>
        <w:tblW w:w="21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1102"/>
        <w:gridCol w:w="1650"/>
        <w:gridCol w:w="2469"/>
        <w:gridCol w:w="1584"/>
        <w:gridCol w:w="1584"/>
        <w:gridCol w:w="1584"/>
        <w:gridCol w:w="1669"/>
        <w:gridCol w:w="4100"/>
        <w:gridCol w:w="3384"/>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07" w:hRule="atLeast"/>
        </w:trPr>
        <w:tc>
          <w:tcPr>
            <w:tcW w:w="1930"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Author, </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publication</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year</w:t>
            </w:r>
          </w:p>
        </w:tc>
        <w:tc>
          <w:tcPr>
            <w:tcW w:w="1102"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Country</w:t>
            </w:r>
            <w:r>
              <w:rPr>
                <w:rFonts w:hint="default" w:ascii="Times New Roman" w:hAnsi="Times New Roman" w:cs="Times New Roman"/>
                <w:b/>
                <w:bCs/>
                <w:sz w:val="20"/>
                <w:szCs w:val="20"/>
                <w:lang w:val="en-US" w:eastAsia="zh-CN"/>
              </w:rPr>
              <w:t>, Region</w:t>
            </w:r>
          </w:p>
        </w:tc>
        <w:tc>
          <w:tcPr>
            <w:tcW w:w="1650"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Study period</w:t>
            </w:r>
          </w:p>
        </w:tc>
        <w:tc>
          <w:tcPr>
            <w:tcW w:w="2469"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Study design</w:t>
            </w:r>
          </w:p>
        </w:tc>
        <w:tc>
          <w:tcPr>
            <w:tcW w:w="4752" w:type="dxa"/>
            <w:gridSpan w:val="3"/>
            <w:tcBorders>
              <w:left w:val="nil"/>
              <w:right w:val="nil"/>
            </w:tcBorders>
            <w:vAlign w:val="top"/>
          </w:tcPr>
          <w:p>
            <w:pPr>
              <w:widowControl w:val="0"/>
              <w:ind w:firstLine="1405" w:firstLineChars="700"/>
              <w:jc w:val="both"/>
              <w:rPr>
                <w:rFonts w:hint="default" w:ascii="Times New Roman" w:hAnsi="Times New Roman" w:cs="Times New Roman"/>
                <w:b/>
                <w:bCs/>
                <w:sz w:val="20"/>
                <w:szCs w:val="20"/>
              </w:rPr>
            </w:pPr>
            <w:r>
              <w:rPr>
                <w:rFonts w:hint="default" w:ascii="Times New Roman" w:hAnsi="Times New Roman" w:cs="Times New Roman"/>
                <w:b/>
                <w:bCs/>
                <w:sz w:val="20"/>
                <w:szCs w:val="20"/>
              </w:rPr>
              <w:t>Study population</w:t>
            </w:r>
          </w:p>
        </w:tc>
        <w:tc>
          <w:tcPr>
            <w:tcW w:w="1669"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Sepsis onset</w:t>
            </w:r>
          </w:p>
        </w:tc>
        <w:tc>
          <w:tcPr>
            <w:tcW w:w="7484" w:type="dxa"/>
            <w:gridSpan w:val="2"/>
            <w:tcBorders>
              <w:left w:val="nil"/>
              <w:bottom w:val="single" w:color="auto" w:sz="4" w:space="0"/>
              <w:right w:val="nil"/>
            </w:tcBorders>
            <w:vAlign w:val="top"/>
          </w:tcPr>
          <w:p>
            <w:pPr>
              <w:widowControl w:val="0"/>
              <w:ind w:firstLine="1606" w:firstLineChars="800"/>
              <w:jc w:val="both"/>
              <w:rPr>
                <w:rFonts w:hint="default" w:ascii="Times New Roman" w:hAnsi="Times New Roman" w:cs="Times New Roman"/>
                <w:b/>
                <w:bCs/>
                <w:sz w:val="20"/>
                <w:szCs w:val="20"/>
              </w:rPr>
            </w:pPr>
            <w:r>
              <w:rPr>
                <w:rFonts w:hint="default" w:ascii="Times New Roman" w:hAnsi="Times New Roman" w:cs="Times New Roman"/>
                <w:b/>
                <w:bCs/>
                <w:sz w:val="20"/>
                <w:szCs w:val="20"/>
              </w:rPr>
              <w:t>Characteristics and number of patients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930"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1102"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1650"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2469"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1584"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(day)</w:t>
            </w:r>
          </w:p>
          <w:p>
            <w:pPr>
              <w:widowControl w:val="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(sep/Non-sep)</w:t>
            </w:r>
          </w:p>
        </w:tc>
        <w:tc>
          <w:tcPr>
            <w:tcW w:w="1584"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Gestational</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(sep/Non-sep)</w:t>
            </w:r>
            <w:r>
              <w:rPr>
                <w:rFonts w:hint="default" w:ascii="Times New Roman" w:hAnsi="Times New Roman" w:cs="Times New Roman"/>
                <w:b/>
                <w:bCs/>
                <w:sz w:val="20"/>
                <w:szCs w:val="20"/>
              </w:rPr>
              <w:t>(weeks)</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(mean ± SD)</w:t>
            </w:r>
          </w:p>
        </w:tc>
        <w:tc>
          <w:tcPr>
            <w:tcW w:w="1584"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Weight</w:t>
            </w:r>
            <w:r>
              <w:rPr>
                <w:rFonts w:hint="default" w:ascii="Times New Roman" w:hAnsi="Times New Roman" w:cs="Times New Roman"/>
                <w:b/>
                <w:bCs/>
                <w:sz w:val="20"/>
                <w:szCs w:val="20"/>
                <w:lang w:val="en-US" w:eastAsia="zh-CN"/>
              </w:rPr>
              <w:t>(sep/</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lang w:val="en-US" w:eastAsia="zh-CN"/>
              </w:rPr>
              <w:t xml:space="preserve">Non-sep)  </w:t>
            </w:r>
            <w:r>
              <w:rPr>
                <w:rFonts w:hint="default" w:ascii="Times New Roman" w:hAnsi="Times New Roman" w:cs="Times New Roman"/>
                <w:b/>
                <w:bCs/>
                <w:sz w:val="20"/>
                <w:szCs w:val="20"/>
              </w:rPr>
              <w:t>(mean ± SD, g)</w:t>
            </w:r>
          </w:p>
        </w:tc>
        <w:tc>
          <w:tcPr>
            <w:tcW w:w="1669"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4100"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Septic group</w:t>
            </w:r>
          </w:p>
        </w:tc>
        <w:tc>
          <w:tcPr>
            <w:tcW w:w="3385" w:type="dxa"/>
            <w:gridSpan w:val="2"/>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Non-septic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5" w:hRule="atLeast"/>
        </w:trPr>
        <w:tc>
          <w:tcPr>
            <w:tcW w:w="1930"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rPr>
              <w:t>Ko¨ksal et al</w:t>
            </w:r>
            <w:r>
              <w:rPr>
                <w:rFonts w:hint="default" w:ascii="Times New Roman" w:hAnsi="Times New Roman" w:cs="Times New Roman"/>
                <w:sz w:val="20"/>
                <w:szCs w:val="20"/>
                <w:lang w:val="en-US" w:eastAsia="zh-CN"/>
              </w:rPr>
              <w:t>,2007</w:t>
            </w:r>
          </w:p>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b w:val="0"/>
                <w:bCs w:val="0"/>
                <w:i w:val="0"/>
                <w:color w:val="000000"/>
                <w:kern w:val="0"/>
                <w:sz w:val="20"/>
                <w:szCs w:val="20"/>
                <w:u w:val="none"/>
                <w:lang w:val="en-US" w:eastAsia="zh-CN" w:bidi="ar"/>
              </w:rPr>
              <w:t>[21]</w:t>
            </w:r>
          </w:p>
        </w:tc>
        <w:tc>
          <w:tcPr>
            <w:tcW w:w="1102"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Turkey</w:t>
            </w:r>
          </w:p>
        </w:tc>
        <w:tc>
          <w:tcPr>
            <w:tcW w:w="1650"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i w:val="0"/>
                <w:color w:val="000000"/>
                <w:kern w:val="0"/>
                <w:sz w:val="20"/>
                <w:szCs w:val="20"/>
                <w:u w:val="none"/>
                <w:lang w:val="en-US" w:eastAsia="zh-CN" w:bidi="ar"/>
              </w:rPr>
              <w:t>Apr to Oct,2002</w:t>
            </w:r>
          </w:p>
        </w:tc>
        <w:tc>
          <w:tcPr>
            <w:tcW w:w="2469"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Case</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control study</w:t>
            </w:r>
          </w:p>
        </w:tc>
        <w:tc>
          <w:tcPr>
            <w:tcW w:w="1584"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1584"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33.6 ± 4.8</w:t>
            </w:r>
          </w:p>
        </w:tc>
        <w:tc>
          <w:tcPr>
            <w:tcW w:w="1584"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1923 ± 841</w:t>
            </w:r>
          </w:p>
        </w:tc>
        <w:tc>
          <w:tcPr>
            <w:tcW w:w="1669" w:type="dxa"/>
            <w:tcBorders>
              <w:top w:val="single" w:color="auto" w:sz="4" w:space="0"/>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single" w:color="auto" w:sz="4" w:space="0"/>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High probable sepsis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(blood culture positive or</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negative, ≥3 sepsis-related clinical signs,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CRP[&gt;1mg/dl, and ≥2 additional altered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serum parameters): n = 15</w:t>
            </w:r>
          </w:p>
          <w:p>
            <w:pPr>
              <w:widowControl w:val="0"/>
              <w:jc w:val="both"/>
              <w:rPr>
                <w:rFonts w:hint="default" w:ascii="Times New Roman" w:hAnsi="Times New Roman" w:cs="Times New Roman"/>
                <w:sz w:val="20"/>
                <w:szCs w:val="20"/>
                <w:lang w:val="en-US" w:eastAsia="zh-CN"/>
              </w:rPr>
            </w:pP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Probable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sepsis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(blood culture negative,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≥3sepsis-related clinical signs, CRP[&gt;1 mg/</w:t>
            </w:r>
            <w:r>
              <w:rPr>
                <w:rFonts w:hint="default" w:ascii="Times New Roman" w:hAnsi="Times New Roman" w:cs="Times New Roman"/>
                <w:sz w:val="20"/>
                <w:szCs w:val="20"/>
                <w:lang w:val="en-US" w:eastAsia="zh-CN"/>
              </w:rPr>
              <w:t xml:space="preserve">dl </w:t>
            </w:r>
            <w:r>
              <w:rPr>
                <w:rFonts w:hint="default" w:ascii="Times New Roman" w:hAnsi="Times New Roman" w:cs="Times New Roman"/>
                <w:sz w:val="20"/>
                <w:szCs w:val="20"/>
              </w:rPr>
              <w:t>and ≥2 ad</w:t>
            </w:r>
            <w:r>
              <w:rPr>
                <w:rFonts w:hint="default" w:ascii="Times New Roman" w:hAnsi="Times New Roman" w:cs="Times New Roman"/>
                <w:sz w:val="20"/>
                <w:szCs w:val="20"/>
                <w:lang w:val="en-US" w:eastAsia="zh-CN"/>
              </w:rPr>
              <w:t>diti</w:t>
            </w:r>
            <w:r>
              <w:rPr>
                <w:rFonts w:hint="default" w:ascii="Times New Roman" w:hAnsi="Times New Roman" w:cs="Times New Roman"/>
                <w:sz w:val="20"/>
                <w:szCs w:val="20"/>
              </w:rPr>
              <w:t>onal altered serum parameters):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n = 14</w:t>
            </w:r>
          </w:p>
          <w:p>
            <w:pPr>
              <w:widowControl w:val="0"/>
              <w:jc w:val="both"/>
              <w:rPr>
                <w:rFonts w:hint="default" w:ascii="Times New Roman" w:hAnsi="Times New Roman" w:cs="Times New Roman"/>
                <w:sz w:val="20"/>
                <w:szCs w:val="20"/>
                <w:lang w:val="en-US" w:eastAsia="zh-CN"/>
              </w:rPr>
            </w:pP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Possible sepsis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(blood culture negative,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&lt;3</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sepsis-related clinical signs, CRP&lt;1 mg/dl,</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and&lt;2 additional alte</w:t>
            </w:r>
            <w:r>
              <w:rPr>
                <w:rFonts w:hint="default" w:ascii="Times New Roman" w:hAnsi="Times New Roman" w:cs="Times New Roman"/>
                <w:sz w:val="20"/>
                <w:szCs w:val="20"/>
                <w:lang w:val="en-US" w:eastAsia="zh-CN"/>
              </w:rPr>
              <w:t>red</w:t>
            </w:r>
            <w:r>
              <w:rPr>
                <w:rFonts w:hint="default" w:ascii="Times New Roman" w:hAnsi="Times New Roman" w:cs="Times New Roman"/>
                <w:sz w:val="20"/>
                <w:szCs w:val="20"/>
              </w:rPr>
              <w:t xml:space="preserve"> serum parameters):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n = 20</w:t>
            </w:r>
          </w:p>
        </w:tc>
        <w:tc>
          <w:tcPr>
            <w:tcW w:w="3385" w:type="dxa"/>
            <w:gridSpan w:val="2"/>
            <w:tcBorders>
              <w:top w:val="single" w:color="auto" w:sz="4" w:space="0"/>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Negative blood culture,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no sepsis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related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clinical signs, CRP&lt;1 mg/dl,</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and no altered serum</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parameters: n =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1930"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Sakha</w:t>
            </w:r>
            <w:r>
              <w:rPr>
                <w:rFonts w:hint="default" w:ascii="Times New Roman" w:hAnsi="Times New Roman" w:cs="Times New Roman"/>
                <w:i w:val="0"/>
                <w:color w:val="000000"/>
                <w:kern w:val="0"/>
                <w:sz w:val="20"/>
                <w:szCs w:val="20"/>
                <w:u w:val="none"/>
                <w:lang w:val="en-US" w:eastAsia="zh-CN" w:bidi="ar"/>
              </w:rPr>
              <w:t xml:space="preserve"> et al,2008（excluded）</w:t>
            </w:r>
          </w:p>
        </w:tc>
        <w:tc>
          <w:tcPr>
            <w:tcW w:w="1102"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Iran</w:t>
            </w:r>
          </w:p>
        </w:tc>
        <w:tc>
          <w:tcPr>
            <w:tcW w:w="1650" w:type="dxa"/>
            <w:tcBorders>
              <w:top w:val="nil"/>
              <w:left w:val="nil"/>
              <w:bottom w:val="nil"/>
              <w:right w:val="nil"/>
            </w:tcBorders>
            <w:vAlign w:val="top"/>
          </w:tcPr>
          <w:p>
            <w:pPr>
              <w:widowControl w:val="0"/>
              <w:jc w:val="both"/>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Apr,2007 to Apr,2008</w:t>
            </w:r>
          </w:p>
        </w:tc>
        <w:tc>
          <w:tcPr>
            <w:tcW w:w="2469"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retrospective Cross-sectional</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11.12±8.94</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 xml:space="preserve"> 7.99±8.01</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＜34</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2715.93±412.1</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2871.89±640.64</w:t>
            </w:r>
          </w:p>
        </w:tc>
        <w:tc>
          <w:tcPr>
            <w:tcW w:w="1669" w:type="dxa"/>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 xml:space="preserve">Proven sepsis: (positive blood culture): n = </w:t>
            </w:r>
            <w:r>
              <w:rPr>
                <w:rFonts w:hint="default" w:ascii="Times New Roman" w:hAnsi="Times New Roman" w:cs="Times New Roman"/>
                <w:sz w:val="20"/>
                <w:szCs w:val="20"/>
                <w:lang w:val="en-US" w:eastAsia="zh-CN"/>
              </w:rPr>
              <w:t>27</w:t>
            </w:r>
          </w:p>
        </w:tc>
        <w:tc>
          <w:tcPr>
            <w:tcW w:w="3385" w:type="dxa"/>
            <w:gridSpan w:val="2"/>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Suspected sepsis: (negative blood</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culture, positive CRP, and</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neutropenia/</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 xml:space="preserve">thrombocytopenia </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chest</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X-ray findings): n =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4" w:hRule="atLeast"/>
        </w:trPr>
        <w:tc>
          <w:tcPr>
            <w:tcW w:w="1930"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Boo</w:t>
            </w:r>
            <w:r>
              <w:rPr>
                <w:rFonts w:hint="default" w:ascii="Times New Roman" w:hAnsi="Times New Roman" w:cs="Times New Roman"/>
                <w:i w:val="0"/>
                <w:color w:val="000000"/>
                <w:kern w:val="0"/>
                <w:sz w:val="20"/>
                <w:szCs w:val="20"/>
                <w:u w:val="none"/>
                <w:lang w:val="en-US" w:eastAsia="zh-CN" w:bidi="ar"/>
              </w:rPr>
              <w:t xml:space="preserve"> et al 2008 </w:t>
            </w:r>
            <w:r>
              <w:rPr>
                <w:rFonts w:hint="default" w:ascii="Times New Roman" w:hAnsi="Times New Roman" w:cs="Times New Roman"/>
                <w:b w:val="0"/>
                <w:bCs w:val="0"/>
                <w:i w:val="0"/>
                <w:color w:val="000000"/>
                <w:kern w:val="0"/>
                <w:sz w:val="20"/>
                <w:szCs w:val="20"/>
                <w:u w:val="none"/>
                <w:lang w:val="en-US" w:eastAsia="zh-CN" w:bidi="ar"/>
              </w:rPr>
              <w:t>[6]</w:t>
            </w:r>
          </w:p>
        </w:tc>
        <w:tc>
          <w:tcPr>
            <w:tcW w:w="1102"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Malaysia</w:t>
            </w:r>
          </w:p>
        </w:tc>
        <w:tc>
          <w:tcPr>
            <w:tcW w:w="1650" w:type="dxa"/>
            <w:tcBorders>
              <w:top w:val="nil"/>
              <w:left w:val="nil"/>
              <w:bottom w:val="nil"/>
              <w:right w:val="nil"/>
            </w:tcBorders>
            <w:vAlign w:val="top"/>
          </w:tcPr>
          <w:p>
            <w:pPr>
              <w:widowControl w:val="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rPr>
              <w:t>Janu,2005</w:t>
            </w:r>
            <w:r>
              <w:rPr>
                <w:rFonts w:hint="default" w:ascii="Times New Roman" w:hAnsi="Times New Roman" w:cs="Times New Roman"/>
                <w:sz w:val="20"/>
                <w:szCs w:val="20"/>
                <w:lang w:val="en-US" w:eastAsia="zh-CN"/>
              </w:rPr>
              <w:t xml:space="preserve"> to </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Dec, 2006</w:t>
            </w:r>
          </w:p>
        </w:tc>
        <w:tc>
          <w:tcPr>
            <w:tcW w:w="2469"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 xml:space="preserve">prospective </w:t>
            </w:r>
            <w:r>
              <w:rPr>
                <w:rFonts w:hint="default" w:ascii="Times New Roman" w:hAnsi="Times New Roman" w:cs="Times New Roman"/>
                <w:sz w:val="20"/>
                <w:szCs w:val="20"/>
              </w:rPr>
              <w:t>cohort</w:t>
            </w:r>
          </w:p>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study</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i w:val="0"/>
                <w:color w:val="000000"/>
                <w:kern w:val="0"/>
                <w:sz w:val="20"/>
                <w:szCs w:val="20"/>
                <w:u w:val="none"/>
                <w:lang w:val="en-US" w:eastAsia="zh-CN" w:bidi="ar"/>
              </w:rPr>
              <w:t>0-</w:t>
            </w:r>
            <w:r>
              <w:rPr>
                <w:rFonts w:hint="default" w:ascii="Times New Roman" w:hAnsi="Times New Roman" w:eastAsia="宋体" w:cs="Times New Roman"/>
                <w:i w:val="0"/>
                <w:color w:val="000000"/>
                <w:kern w:val="0"/>
                <w:sz w:val="20"/>
                <w:szCs w:val="20"/>
                <w:u w:val="none"/>
                <w:lang w:val="en-US" w:eastAsia="zh-CN" w:bidi="ar"/>
              </w:rPr>
              <w:t>30</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i w:val="0"/>
                <w:color w:val="000000"/>
                <w:kern w:val="0"/>
                <w:sz w:val="20"/>
                <w:szCs w:val="20"/>
                <w:u w:val="none"/>
                <w:lang w:val="en-US" w:eastAsia="zh-CN" w:bidi="ar"/>
              </w:rPr>
              <w:t>30/34</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1060</w:t>
            </w:r>
            <w:r>
              <w:rPr>
                <w:rFonts w:hint="default" w:ascii="Times New Roman" w:hAnsi="Times New Roman" w:cs="Times New Roman"/>
                <w:i w:val="0"/>
                <w:color w:val="000000"/>
                <w:kern w:val="0"/>
                <w:sz w:val="20"/>
                <w:szCs w:val="20"/>
                <w:u w:val="none"/>
                <w:lang w:val="en-US" w:eastAsia="zh-CN" w:bidi="ar"/>
              </w:rPr>
              <w:t>/2</w:t>
            </w:r>
            <w:r>
              <w:rPr>
                <w:rFonts w:hint="default" w:ascii="Times New Roman" w:hAnsi="Times New Roman" w:eastAsia="宋体" w:cs="Times New Roman"/>
                <w:i w:val="0"/>
                <w:color w:val="000000"/>
                <w:kern w:val="0"/>
                <w:sz w:val="20"/>
                <w:szCs w:val="20"/>
                <w:u w:val="none"/>
                <w:lang w:val="en-US" w:eastAsia="zh-CN" w:bidi="ar"/>
              </w:rPr>
              <w:t>100</w:t>
            </w:r>
          </w:p>
        </w:tc>
        <w:tc>
          <w:tcPr>
            <w:tcW w:w="1669" w:type="dxa"/>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E</w:t>
            </w:r>
            <w:r>
              <w:rPr>
                <w:rFonts w:hint="default" w:ascii="Times New Roman" w:hAnsi="Times New Roman" w:cs="Times New Roman"/>
                <w:sz w:val="20"/>
                <w:szCs w:val="20"/>
                <w:lang w:val="en-US" w:eastAsia="zh-CN"/>
              </w:rPr>
              <w:t>OS</w:t>
            </w:r>
            <w:r>
              <w:rPr>
                <w:rFonts w:hint="default" w:ascii="Times New Roman" w:hAnsi="Times New Roman" w:eastAsia="宋体" w:cs="Times New Roman"/>
                <w:sz w:val="20"/>
                <w:szCs w:val="20"/>
                <w:lang w:val="en-US" w:eastAsia="zh-CN"/>
              </w:rPr>
              <w:t xml:space="preserve"> and</w:t>
            </w:r>
          </w:p>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LOS</w:t>
            </w:r>
          </w:p>
        </w:tc>
        <w:tc>
          <w:tcPr>
            <w:tcW w:w="4100" w:type="dxa"/>
            <w:tcBorders>
              <w:top w:val="nil"/>
              <w:left w:val="nil"/>
              <w:bottom w:val="nil"/>
              <w:right w:val="nil"/>
            </w:tcBorders>
            <w:vAlign w:val="top"/>
          </w:tcPr>
          <w:p>
            <w:pPr>
              <w:widowControl w:val="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rPr>
              <w:t>Proven</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sepsis: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any symptomatic infants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with positive blood culture results.): n = </w:t>
            </w:r>
            <w:r>
              <w:rPr>
                <w:rFonts w:hint="default" w:ascii="Times New Roman" w:hAnsi="Times New Roman" w:cs="Times New Roman"/>
                <w:sz w:val="20"/>
                <w:szCs w:val="20"/>
                <w:lang w:val="en-US" w:eastAsia="zh-CN"/>
              </w:rPr>
              <w:t>18</w:t>
            </w:r>
          </w:p>
          <w:p>
            <w:pPr>
              <w:widowControl w:val="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a.12 had gram-positive sepsis</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b. 6 had gram-negative sepsis</w:t>
            </w:r>
          </w:p>
        </w:tc>
        <w:tc>
          <w:tcPr>
            <w:tcW w:w="3385" w:type="dxa"/>
            <w:gridSpan w:val="2"/>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negative blood culture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1" w:hRule="atLeast"/>
        </w:trPr>
        <w:tc>
          <w:tcPr>
            <w:tcW w:w="1930" w:type="dxa"/>
            <w:tcBorders>
              <w:top w:val="nil"/>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Al-Zahrani</w:t>
            </w:r>
            <w:r>
              <w:rPr>
                <w:rFonts w:hint="default" w:ascii="Times New Roman" w:hAnsi="Times New Roman" w:cs="Times New Roman"/>
                <w:i w:val="0"/>
                <w:color w:val="000000"/>
                <w:kern w:val="0"/>
                <w:sz w:val="20"/>
                <w:szCs w:val="20"/>
                <w:u w:val="none"/>
                <w:lang w:val="en-US" w:eastAsia="zh-CN" w:bidi="ar"/>
              </w:rPr>
              <w:t xml:space="preserve">,2015 </w:t>
            </w:r>
            <w:r>
              <w:rPr>
                <w:rFonts w:hint="default" w:ascii="Times New Roman" w:hAnsi="Times New Roman" w:cs="Times New Roman"/>
                <w:b w:val="0"/>
                <w:bCs w:val="0"/>
                <w:i w:val="0"/>
                <w:color w:val="000000"/>
                <w:kern w:val="0"/>
                <w:sz w:val="20"/>
                <w:szCs w:val="20"/>
                <w:u w:val="none"/>
                <w:lang w:val="en-US" w:eastAsia="zh-CN" w:bidi="ar"/>
              </w:rPr>
              <w:t>[22]</w:t>
            </w:r>
          </w:p>
        </w:tc>
        <w:tc>
          <w:tcPr>
            <w:tcW w:w="1102" w:type="dxa"/>
            <w:tcBorders>
              <w:top w:val="nil"/>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Egypt</w:t>
            </w:r>
          </w:p>
        </w:tc>
        <w:tc>
          <w:tcPr>
            <w:tcW w:w="1650" w:type="dxa"/>
            <w:tcBorders>
              <w:top w:val="nil"/>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Times New Roman" w:cs="Times New Roman"/>
                <w:color w:val="000000"/>
                <w:sz w:val="20"/>
                <w:szCs w:val="20"/>
              </w:rPr>
              <w:t>Janu</w:t>
            </w:r>
            <w:r>
              <w:rPr>
                <w:rFonts w:hint="default" w:ascii="Times New Roman" w:hAnsi="Times New Roman" w:cs="Times New Roman"/>
                <w:color w:val="000000"/>
                <w:sz w:val="20"/>
                <w:szCs w:val="20"/>
                <w:lang w:val="en-US" w:eastAsia="zh-CN"/>
              </w:rPr>
              <w:t>,</w:t>
            </w:r>
            <w:r>
              <w:rPr>
                <w:rFonts w:hint="default" w:ascii="Times New Roman" w:hAnsi="Times New Roman" w:eastAsia="Times New Roman" w:cs="Times New Roman"/>
                <w:color w:val="000000"/>
                <w:sz w:val="20"/>
                <w:szCs w:val="20"/>
              </w:rPr>
              <w:t>2013</w:t>
            </w:r>
            <w:r>
              <w:rPr>
                <w:rFonts w:hint="default" w:ascii="Times New Roman" w:hAnsi="Times New Roman" w:cs="Times New Roman"/>
                <w:color w:val="000000"/>
                <w:sz w:val="20"/>
                <w:szCs w:val="20"/>
                <w:lang w:val="en-US" w:eastAsia="zh-CN"/>
              </w:rPr>
              <w:t>-</w:t>
            </w:r>
            <w:r>
              <w:rPr>
                <w:rFonts w:hint="default" w:ascii="Times New Roman" w:hAnsi="Times New Roman" w:eastAsia="Times New Roman" w:cs="Times New Roman"/>
                <w:color w:val="000000"/>
                <w:sz w:val="20"/>
                <w:szCs w:val="20"/>
              </w:rPr>
              <w:t>Janu</w:t>
            </w:r>
            <w:r>
              <w:rPr>
                <w:rFonts w:hint="default" w:ascii="Times New Roman" w:hAnsi="Times New Roman" w:cs="Times New Roman"/>
                <w:color w:val="000000"/>
                <w:sz w:val="20"/>
                <w:szCs w:val="20"/>
                <w:lang w:val="en-US" w:eastAsia="zh-CN"/>
              </w:rPr>
              <w:t>,</w:t>
            </w:r>
            <w:r>
              <w:rPr>
                <w:rFonts w:hint="default" w:ascii="Times New Roman" w:hAnsi="Times New Roman" w:eastAsia="Times New Roman" w:cs="Times New Roman"/>
                <w:color w:val="000000"/>
                <w:sz w:val="20"/>
                <w:szCs w:val="20"/>
              </w:rPr>
              <w:t xml:space="preserve">2014 </w:t>
            </w:r>
          </w:p>
        </w:tc>
        <w:tc>
          <w:tcPr>
            <w:tcW w:w="2469" w:type="dxa"/>
            <w:tcBorders>
              <w:top w:val="nil"/>
              <w:left w:val="nil"/>
              <w:bottom w:val="single" w:color="auto" w:sz="4" w:space="0"/>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 xml:space="preserve">prospective </w:t>
            </w:r>
            <w:r>
              <w:rPr>
                <w:rFonts w:hint="default" w:ascii="Times New Roman" w:hAnsi="Times New Roman" w:cs="Times New Roman"/>
                <w:sz w:val="20"/>
                <w:szCs w:val="20"/>
              </w:rPr>
              <w:t>cohort</w:t>
            </w:r>
          </w:p>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study</w:t>
            </w:r>
          </w:p>
        </w:tc>
        <w:tc>
          <w:tcPr>
            <w:tcW w:w="1584" w:type="dxa"/>
            <w:tcBorders>
              <w:top w:val="nil"/>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NA</w:t>
            </w:r>
          </w:p>
        </w:tc>
        <w:tc>
          <w:tcPr>
            <w:tcW w:w="1584" w:type="dxa"/>
            <w:tcBorders>
              <w:top w:val="nil"/>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Preterm 18/2</w:t>
            </w:r>
          </w:p>
        </w:tc>
        <w:tc>
          <w:tcPr>
            <w:tcW w:w="1584" w:type="dxa"/>
            <w:tcBorders>
              <w:top w:val="nil"/>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2,500</w:t>
            </w:r>
            <w:r>
              <w:rPr>
                <w:rFonts w:hint="default" w:ascii="Times New Roman" w:hAnsi="Times New Roman" w:cs="Times New Roman"/>
                <w:sz w:val="20"/>
                <w:szCs w:val="20"/>
                <w:lang w:val="en-US" w:eastAsia="zh-CN"/>
              </w:rPr>
              <w:t>g: 28/9</w:t>
            </w:r>
            <w:r>
              <w:rPr>
                <w:rFonts w:hint="default" w:ascii="Times New Roman" w:hAnsi="Times New Roman" w:cs="Times New Roman"/>
                <w:sz w:val="20"/>
                <w:szCs w:val="20"/>
              </w:rPr>
              <w:t xml:space="preserve"> </w:t>
            </w:r>
          </w:p>
        </w:tc>
        <w:tc>
          <w:tcPr>
            <w:tcW w:w="1669" w:type="dxa"/>
            <w:tcBorders>
              <w:top w:val="nil"/>
              <w:left w:val="nil"/>
              <w:bottom w:val="single" w:color="auto" w:sz="4" w:space="0"/>
              <w:right w:val="nil"/>
            </w:tcBorders>
            <w:vAlign w:val="top"/>
          </w:tcPr>
          <w:p>
            <w:pPr>
              <w:widowControl w:val="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EOS:n=34</w:t>
            </w:r>
          </w:p>
          <w:p>
            <w:pPr>
              <w:widowControl w:val="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LOS:n=37</w:t>
            </w:r>
          </w:p>
          <w:p>
            <w:pPr>
              <w:widowControl w:val="0"/>
              <w:jc w:val="both"/>
              <w:rPr>
                <w:rFonts w:hint="default" w:ascii="Times New Roman" w:hAnsi="Times New Roman" w:eastAsia="宋体" w:cs="Times New Roman"/>
                <w:sz w:val="20"/>
                <w:szCs w:val="20"/>
                <w:lang w:val="en-US" w:eastAsia="zh-CN"/>
              </w:rPr>
            </w:pPr>
          </w:p>
        </w:tc>
        <w:tc>
          <w:tcPr>
            <w:tcW w:w="4100" w:type="dxa"/>
            <w:tcBorders>
              <w:top w:val="nil"/>
              <w:left w:val="nil"/>
              <w:bottom w:val="single" w:color="auto" w:sz="4" w:space="0"/>
              <w:right w:val="nil"/>
            </w:tcBorders>
            <w:vAlign w:val="top"/>
          </w:tcPr>
          <w:p>
            <w:pPr>
              <w:widowControl w:val="0"/>
              <w:jc w:val="both"/>
              <w:rPr>
                <w:rFonts w:hint="default" w:ascii="Times New Roman" w:hAnsi="Times New Roman" w:cs="Times New Roman"/>
                <w:sz w:val="20"/>
                <w:szCs w:val="20"/>
                <w:lang w:val="en-US" w:eastAsia="zh-CN"/>
              </w:rPr>
            </w:pPr>
            <w:r>
              <w:rPr>
                <w:rFonts w:hint="default" w:ascii="Times New Roman" w:hAnsi="Times New Roman" w:eastAsia="宋体" w:cs="Times New Roman"/>
                <w:color w:val="000000"/>
                <w:sz w:val="20"/>
                <w:szCs w:val="20"/>
                <w:lang w:val="en-US" w:eastAsia="zh-CN"/>
              </w:rPr>
              <w:t>P</w:t>
            </w:r>
            <w:r>
              <w:rPr>
                <w:rFonts w:hint="default" w:ascii="Times New Roman" w:hAnsi="Times New Roman" w:eastAsia="Times New Roman" w:cs="Times New Roman"/>
                <w:color w:val="000000"/>
                <w:sz w:val="20"/>
                <w:szCs w:val="20"/>
              </w:rPr>
              <w:t>roven</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sz w:val="20"/>
                <w:szCs w:val="20"/>
                <w:lang w:val="en-US" w:eastAsia="zh-CN"/>
              </w:rPr>
              <w:t>EOS: neonates with positive blood culture and/or positive PCR results for bacterial 16S rDNA: n=34</w:t>
            </w:r>
          </w:p>
          <w:p>
            <w:pPr>
              <w:widowControl w:val="0"/>
              <w:jc w:val="both"/>
              <w:rPr>
                <w:rFonts w:hint="default" w:ascii="Times New Roman" w:hAnsi="Times New Roman" w:cs="Times New Roman"/>
                <w:color w:val="000000"/>
                <w:sz w:val="20"/>
                <w:szCs w:val="20"/>
                <w:lang w:val="en-US" w:eastAsia="zh-CN"/>
              </w:rPr>
            </w:pPr>
          </w:p>
          <w:p>
            <w:pPr>
              <w:widowControl w:val="0"/>
              <w:jc w:val="both"/>
              <w:rPr>
                <w:rFonts w:hint="default" w:ascii="Times New Roman" w:hAnsi="Times New Roman" w:cs="Times New Roman"/>
                <w:sz w:val="20"/>
                <w:szCs w:val="20"/>
              </w:rPr>
            </w:pPr>
            <w:r>
              <w:rPr>
                <w:rFonts w:hint="default" w:ascii="Times New Roman" w:hAnsi="Times New Roman" w:cs="Times New Roman"/>
                <w:color w:val="000000"/>
                <w:sz w:val="20"/>
                <w:szCs w:val="20"/>
                <w:lang w:val="en-US" w:eastAsia="zh-CN"/>
              </w:rPr>
              <w:t xml:space="preserve">Clinical </w:t>
            </w:r>
            <w:r>
              <w:rPr>
                <w:rFonts w:hint="default" w:ascii="Times New Roman" w:hAnsi="Times New Roman" w:cs="Times New Roman"/>
                <w:sz w:val="20"/>
                <w:szCs w:val="20"/>
                <w:lang w:val="en-US" w:eastAsia="zh-CN"/>
              </w:rPr>
              <w:t>LOS: neonates with negative blood culture who had positive clinical signs consistent of sepsis, and positive sepsis screen based on band cells &gt; 20%, polymorphocytosis, elevated CRP level: n=37</w:t>
            </w:r>
          </w:p>
        </w:tc>
        <w:tc>
          <w:tcPr>
            <w:tcW w:w="3385" w:type="dxa"/>
            <w:gridSpan w:val="2"/>
            <w:tcBorders>
              <w:top w:val="nil"/>
              <w:left w:val="nil"/>
              <w:bottom w:val="single" w:color="auto" w:sz="4" w:space="0"/>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negative infectious status or non-sepsis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neonates suspected of having sepsis who had negative blood culture and negative sepsis screen </w:t>
            </w:r>
          </w:p>
        </w:tc>
      </w:tr>
    </w:tbl>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EOS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early onset sepsis, LOS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late-onset sepsis</w:t>
      </w:r>
      <w:r>
        <w:rPr>
          <w:rFonts w:hint="default" w:ascii="Times New Roman" w:hAnsi="Times New Roman" w:cs="Times New Roman"/>
          <w:sz w:val="20"/>
          <w:szCs w:val="20"/>
          <w:lang w:val="en-US" w:eastAsia="zh-CN"/>
        </w:rPr>
        <w:t xml:space="preserve">, CRP: C-Reactive Protein </w:t>
      </w:r>
    </w:p>
    <w:p>
      <w:pPr>
        <w:rPr>
          <w:rFonts w:hint="default" w:ascii="Times New Roman" w:hAnsi="Times New Roman" w:cs="Times New Roman"/>
          <w:sz w:val="20"/>
          <w:szCs w:val="20"/>
        </w:rPr>
      </w:pPr>
    </w:p>
    <w:p>
      <w:pPr>
        <w:rPr>
          <w:rFonts w:hint="default" w:ascii="Times New Roman" w:hAnsi="Times New Roman" w:cs="Times New Roman"/>
          <w:b/>
          <w:bCs/>
          <w:sz w:val="20"/>
          <w:szCs w:val="20"/>
        </w:rPr>
      </w:pPr>
    </w:p>
    <w:p>
      <w:pPr>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Table </w:t>
      </w:r>
      <w:r>
        <w:rPr>
          <w:rFonts w:hint="default" w:ascii="Times New Roman" w:hAnsi="Times New Roman" w:cs="Times New Roman"/>
          <w:b/>
          <w:bCs/>
          <w:sz w:val="20"/>
          <w:szCs w:val="20"/>
          <w:lang w:val="en-US" w:eastAsia="zh-CN"/>
        </w:rPr>
        <w:t>2</w:t>
      </w:r>
      <w:r>
        <w:rPr>
          <w:rFonts w:hint="default" w:ascii="Times New Roman" w:hAnsi="Times New Roman" w:cs="Times New Roman"/>
          <w:b/>
          <w:bCs/>
          <w:sz w:val="20"/>
          <w:szCs w:val="20"/>
        </w:rPr>
        <w:t xml:space="preserve"> continued</w:t>
      </w:r>
    </w:p>
    <w:tbl>
      <w:tblPr>
        <w:tblStyle w:val="5"/>
        <w:tblW w:w="21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1552"/>
        <w:gridCol w:w="1365"/>
        <w:gridCol w:w="2304"/>
        <w:gridCol w:w="1584"/>
        <w:gridCol w:w="1722"/>
        <w:gridCol w:w="1695"/>
        <w:gridCol w:w="1420"/>
        <w:gridCol w:w="4100"/>
        <w:gridCol w:w="3384"/>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07" w:hRule="atLeast"/>
        </w:trPr>
        <w:tc>
          <w:tcPr>
            <w:tcW w:w="1930"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Author, </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publication</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year</w:t>
            </w:r>
          </w:p>
        </w:tc>
        <w:tc>
          <w:tcPr>
            <w:tcW w:w="1552"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Country</w:t>
            </w:r>
            <w:r>
              <w:rPr>
                <w:rFonts w:hint="default" w:ascii="Times New Roman" w:hAnsi="Times New Roman" w:cs="Times New Roman"/>
                <w:b/>
                <w:bCs/>
                <w:sz w:val="20"/>
                <w:szCs w:val="20"/>
                <w:lang w:val="en-US" w:eastAsia="zh-CN"/>
              </w:rPr>
              <w:t>, Region</w:t>
            </w:r>
          </w:p>
        </w:tc>
        <w:tc>
          <w:tcPr>
            <w:tcW w:w="1365"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Study period</w:t>
            </w:r>
          </w:p>
        </w:tc>
        <w:tc>
          <w:tcPr>
            <w:tcW w:w="2304"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Study design</w:t>
            </w:r>
          </w:p>
        </w:tc>
        <w:tc>
          <w:tcPr>
            <w:tcW w:w="5001" w:type="dxa"/>
            <w:gridSpan w:val="3"/>
            <w:tcBorders>
              <w:left w:val="nil"/>
              <w:right w:val="nil"/>
            </w:tcBorders>
            <w:vAlign w:val="top"/>
          </w:tcPr>
          <w:p>
            <w:pPr>
              <w:widowControl w:val="0"/>
              <w:ind w:firstLine="1405" w:firstLineChars="700"/>
              <w:jc w:val="both"/>
              <w:rPr>
                <w:rFonts w:hint="default" w:ascii="Times New Roman" w:hAnsi="Times New Roman" w:cs="Times New Roman"/>
                <w:b/>
                <w:bCs/>
                <w:sz w:val="20"/>
                <w:szCs w:val="20"/>
              </w:rPr>
            </w:pPr>
            <w:r>
              <w:rPr>
                <w:rFonts w:hint="default" w:ascii="Times New Roman" w:hAnsi="Times New Roman" w:cs="Times New Roman"/>
                <w:b/>
                <w:bCs/>
                <w:sz w:val="20"/>
                <w:szCs w:val="20"/>
              </w:rPr>
              <w:t>Study population</w:t>
            </w:r>
          </w:p>
        </w:tc>
        <w:tc>
          <w:tcPr>
            <w:tcW w:w="1420"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Sepsis onset</w:t>
            </w:r>
          </w:p>
        </w:tc>
        <w:tc>
          <w:tcPr>
            <w:tcW w:w="7484" w:type="dxa"/>
            <w:gridSpan w:val="2"/>
            <w:tcBorders>
              <w:left w:val="nil"/>
              <w:bottom w:val="single" w:color="auto" w:sz="4" w:space="0"/>
              <w:right w:val="nil"/>
            </w:tcBorders>
            <w:vAlign w:val="top"/>
          </w:tcPr>
          <w:p>
            <w:pPr>
              <w:widowControl w:val="0"/>
              <w:ind w:firstLine="1606" w:firstLineChars="800"/>
              <w:jc w:val="both"/>
              <w:rPr>
                <w:rFonts w:hint="default" w:ascii="Times New Roman" w:hAnsi="Times New Roman" w:cs="Times New Roman"/>
                <w:b/>
                <w:bCs/>
                <w:sz w:val="20"/>
                <w:szCs w:val="20"/>
              </w:rPr>
            </w:pPr>
            <w:r>
              <w:rPr>
                <w:rFonts w:hint="default" w:ascii="Times New Roman" w:hAnsi="Times New Roman" w:cs="Times New Roman"/>
                <w:b/>
                <w:bCs/>
                <w:sz w:val="20"/>
                <w:szCs w:val="20"/>
              </w:rPr>
              <w:t>Characteristics and number of patients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930"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1552"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1365"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2304"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1584"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(day)</w:t>
            </w:r>
          </w:p>
          <w:p>
            <w:pPr>
              <w:widowControl w:val="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(sep/Non-sep)</w:t>
            </w:r>
          </w:p>
        </w:tc>
        <w:tc>
          <w:tcPr>
            <w:tcW w:w="1722"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Gestational</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(sep/Non-sep)</w:t>
            </w:r>
            <w:r>
              <w:rPr>
                <w:rFonts w:hint="default" w:ascii="Times New Roman" w:hAnsi="Times New Roman" w:cs="Times New Roman"/>
                <w:b/>
                <w:bCs/>
                <w:sz w:val="20"/>
                <w:szCs w:val="20"/>
              </w:rPr>
              <w:t>(weeks)</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(mean ± SD)</w:t>
            </w:r>
          </w:p>
        </w:tc>
        <w:tc>
          <w:tcPr>
            <w:tcW w:w="1695"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Weight</w:t>
            </w:r>
            <w:r>
              <w:rPr>
                <w:rFonts w:hint="default" w:ascii="Times New Roman" w:hAnsi="Times New Roman" w:cs="Times New Roman"/>
                <w:b/>
                <w:bCs/>
                <w:sz w:val="20"/>
                <w:szCs w:val="20"/>
                <w:lang w:val="en-US" w:eastAsia="zh-CN"/>
              </w:rPr>
              <w:t>(sep/</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lang w:val="en-US" w:eastAsia="zh-CN"/>
              </w:rPr>
              <w:t xml:space="preserve">Non-sep)  </w:t>
            </w:r>
            <w:r>
              <w:rPr>
                <w:rFonts w:hint="default" w:ascii="Times New Roman" w:hAnsi="Times New Roman" w:cs="Times New Roman"/>
                <w:b/>
                <w:bCs/>
                <w:sz w:val="20"/>
                <w:szCs w:val="20"/>
              </w:rPr>
              <w:t>(mean ± SD, g)</w:t>
            </w:r>
          </w:p>
        </w:tc>
        <w:tc>
          <w:tcPr>
            <w:tcW w:w="1420"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4100"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Septic group</w:t>
            </w:r>
          </w:p>
        </w:tc>
        <w:tc>
          <w:tcPr>
            <w:tcW w:w="3385" w:type="dxa"/>
            <w:gridSpan w:val="2"/>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Non-septic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0" w:hRule="atLeast"/>
        </w:trPr>
        <w:tc>
          <w:tcPr>
            <w:tcW w:w="1930"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C¸etinkaya</w:t>
            </w:r>
            <w:r>
              <w:rPr>
                <w:rFonts w:hint="default" w:ascii="Times New Roman" w:hAnsi="Times New Roman" w:cs="Times New Roman"/>
                <w:i w:val="0"/>
                <w:color w:val="000000"/>
                <w:kern w:val="0"/>
                <w:sz w:val="20"/>
                <w:szCs w:val="20"/>
                <w:u w:val="none"/>
                <w:lang w:val="en-US" w:eastAsia="zh-CN" w:bidi="ar"/>
              </w:rPr>
              <w:t>,2009</w:t>
            </w:r>
          </w:p>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b w:val="0"/>
                <w:bCs w:val="0"/>
                <w:i w:val="0"/>
                <w:color w:val="000000"/>
                <w:kern w:val="0"/>
                <w:sz w:val="20"/>
                <w:szCs w:val="20"/>
                <w:u w:val="none"/>
                <w:lang w:val="en-US" w:eastAsia="zh-CN" w:bidi="ar"/>
              </w:rPr>
              <w:t>[8]</w:t>
            </w:r>
          </w:p>
        </w:tc>
        <w:tc>
          <w:tcPr>
            <w:tcW w:w="1552"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Turkey</w:t>
            </w:r>
          </w:p>
        </w:tc>
        <w:tc>
          <w:tcPr>
            <w:tcW w:w="1365" w:type="dxa"/>
            <w:tcBorders>
              <w:top w:val="single" w:color="auto" w:sz="4" w:space="0"/>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Janu,</w:t>
            </w:r>
            <w:r>
              <w:rPr>
                <w:rFonts w:hint="default" w:ascii="Times New Roman" w:hAnsi="Times New Roman" w:cs="Times New Roman"/>
                <w:sz w:val="20"/>
                <w:szCs w:val="20"/>
              </w:rPr>
              <w:t>2006</w:t>
            </w:r>
          </w:p>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to Janu,</w:t>
            </w:r>
            <w:r>
              <w:rPr>
                <w:rFonts w:hint="default" w:ascii="Times New Roman" w:hAnsi="Times New Roman" w:cs="Times New Roman"/>
                <w:sz w:val="20"/>
                <w:szCs w:val="20"/>
              </w:rPr>
              <w:t>2008</w:t>
            </w:r>
          </w:p>
        </w:tc>
        <w:tc>
          <w:tcPr>
            <w:tcW w:w="2304" w:type="dxa"/>
            <w:tcBorders>
              <w:top w:val="single" w:color="auto" w:sz="4" w:space="0"/>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Prospective cohort</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study</w:t>
            </w:r>
          </w:p>
        </w:tc>
        <w:tc>
          <w:tcPr>
            <w:tcW w:w="1584"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0-28</w:t>
            </w:r>
          </w:p>
        </w:tc>
        <w:tc>
          <w:tcPr>
            <w:tcW w:w="1722"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31.2 ± 3.19</w:t>
            </w:r>
          </w:p>
        </w:tc>
        <w:tc>
          <w:tcPr>
            <w:tcW w:w="1695" w:type="dxa"/>
            <w:tcBorders>
              <w:top w:val="single" w:color="auto" w:sz="4" w:space="0"/>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1745</w:t>
            </w:r>
          </w:p>
        </w:tc>
        <w:tc>
          <w:tcPr>
            <w:tcW w:w="1420" w:type="dxa"/>
            <w:tcBorders>
              <w:top w:val="single" w:color="auto" w:sz="4" w:space="0"/>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Highly</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probable sepsis</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group: EOS,10/</w:t>
            </w:r>
            <w:r>
              <w:rPr>
                <w:rFonts w:hint="default" w:ascii="Times New Roman" w:hAnsi="Times New Roman" w:cs="Times New Roman"/>
                <w:sz w:val="20"/>
                <w:szCs w:val="20"/>
                <w:lang w:val="en-US" w:eastAsia="zh-CN"/>
              </w:rPr>
              <w:t>108</w:t>
            </w:r>
          </w:p>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(9.3%),LOS, 98/</w:t>
            </w:r>
            <w:r>
              <w:rPr>
                <w:rFonts w:hint="default" w:ascii="Times New Roman" w:hAnsi="Times New Roman" w:cs="Times New Roman"/>
                <w:sz w:val="20"/>
                <w:szCs w:val="20"/>
                <w:lang w:val="en-US" w:eastAsia="zh-CN"/>
              </w:rPr>
              <w:t>108</w:t>
            </w:r>
            <w:r>
              <w:rPr>
                <w:rFonts w:hint="default" w:ascii="Times New Roman" w:hAnsi="Times New Roman" w:eastAsia="宋体" w:cs="Times New Roman"/>
                <w:sz w:val="20"/>
                <w:szCs w:val="20"/>
                <w:lang w:val="en-US" w:eastAsia="zh-CN"/>
              </w:rPr>
              <w:t>(90.7%).</w:t>
            </w:r>
          </w:p>
          <w:p>
            <w:pPr>
              <w:widowControl w:val="0"/>
              <w:jc w:val="both"/>
              <w:rPr>
                <w:rFonts w:hint="default" w:ascii="Times New Roman" w:hAnsi="Times New Roman" w:eastAsia="宋体" w:cs="Times New Roman"/>
                <w:sz w:val="20"/>
                <w:szCs w:val="20"/>
                <w:lang w:val="en-US" w:eastAsia="zh-CN"/>
              </w:rPr>
            </w:pPr>
          </w:p>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Probable and possible</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sepsis groups:EOS,8/15(5</w:t>
            </w:r>
            <w:r>
              <w:rPr>
                <w:rFonts w:hint="default" w:ascii="Times New Roman" w:hAnsi="Times New Roman" w:cs="Times New Roman"/>
                <w:sz w:val="20"/>
                <w:szCs w:val="20"/>
                <w:lang w:val="en-US" w:eastAsia="zh-CN"/>
              </w:rPr>
              <w:t>2</w:t>
            </w:r>
            <w:r>
              <w:rPr>
                <w:rFonts w:hint="default" w:ascii="Times New Roman" w:hAnsi="Times New Roman" w:eastAsia="宋体" w:cs="Times New Roman"/>
                <w:sz w:val="20"/>
                <w:szCs w:val="20"/>
                <w:lang w:val="en-US" w:eastAsia="zh-CN"/>
              </w:rPr>
              <w:t>.3</w:t>
            </w:r>
            <w:r>
              <w:rPr>
                <w:rFonts w:hint="default"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 LOS,7/15 (47.7%)</w:t>
            </w:r>
          </w:p>
        </w:tc>
        <w:tc>
          <w:tcPr>
            <w:tcW w:w="4100" w:type="dxa"/>
            <w:tcBorders>
              <w:top w:val="single" w:color="auto" w:sz="4" w:space="0"/>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Highly probable sepsis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(blood culture positive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or negative, ≥3 sepsis-related clinical signs,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CRP[&gt;1 mg/100 ml, and ≥2</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additional</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altered serum parameters): n = 108</w:t>
            </w:r>
          </w:p>
          <w:p>
            <w:pPr>
              <w:widowControl w:val="0"/>
              <w:jc w:val="both"/>
              <w:rPr>
                <w:rFonts w:hint="default" w:ascii="Times New Roman" w:hAnsi="Times New Roman" w:cs="Times New Roman"/>
                <w:sz w:val="20"/>
                <w:szCs w:val="20"/>
              </w:rPr>
            </w:pP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Probable sepsis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(blood culture negative,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&lt;3</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sepsis-related clinical signs, CRP[&gt;1 mg/100 ml, ≥2 additional altered serum</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parameters)] </w:t>
            </w:r>
            <w:r>
              <w:rPr>
                <w:rFonts w:hint="default" w:ascii="Times New Roman" w:hAnsi="Times New Roman" w:eastAsia="宋体" w:cs="Times New Roman"/>
                <w:sz w:val="20"/>
                <w:szCs w:val="20"/>
              </w:rPr>
              <w:t>＋</w:t>
            </w:r>
            <w:r>
              <w:rPr>
                <w:rFonts w:hint="default" w:ascii="Times New Roman" w:hAnsi="Times New Roman" w:cs="Times New Roman"/>
                <w:sz w:val="20"/>
                <w:szCs w:val="20"/>
              </w:rPr>
              <w:t>[possible sepsis (blood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culture negative,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&lt;3 sepsis-related clinical</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signs, CRP&lt;1 mg/100 ml and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&lt;2</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additional altered serum parameters):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n = 15</w:t>
            </w:r>
          </w:p>
        </w:tc>
        <w:tc>
          <w:tcPr>
            <w:tcW w:w="3385" w:type="dxa"/>
            <w:gridSpan w:val="2"/>
            <w:tcBorders>
              <w:top w:val="single" w:color="auto" w:sz="4" w:space="0"/>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CRP &lt;1 mg per 100 ml</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No altered serum parameters</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Negative blood culture, no sepsis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related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clinical signs: n =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6" w:hRule="atLeast"/>
        </w:trPr>
        <w:tc>
          <w:tcPr>
            <w:tcW w:w="1930"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Ertuğrul</w:t>
            </w:r>
            <w:r>
              <w:rPr>
                <w:rFonts w:hint="default" w:ascii="Times New Roman" w:hAnsi="Times New Roman" w:cs="Times New Roman"/>
                <w:i w:val="0"/>
                <w:color w:val="000000"/>
                <w:kern w:val="0"/>
                <w:sz w:val="20"/>
                <w:szCs w:val="20"/>
                <w:u w:val="none"/>
                <w:lang w:val="en-US" w:eastAsia="zh-CN" w:bidi="ar"/>
              </w:rPr>
              <w:t>,2013</w:t>
            </w:r>
          </w:p>
          <w:p>
            <w:pPr>
              <w:keepNext w:val="0"/>
              <w:keepLines w:val="0"/>
              <w:widowControl/>
              <w:suppressLineNumbers w:val="0"/>
              <w:jc w:val="both"/>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(excluded)</w:t>
            </w:r>
          </w:p>
        </w:tc>
        <w:tc>
          <w:tcPr>
            <w:tcW w:w="1552"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Turkey</w:t>
            </w:r>
          </w:p>
        </w:tc>
        <w:tc>
          <w:tcPr>
            <w:tcW w:w="1365" w:type="dxa"/>
            <w:tcBorders>
              <w:top w:val="nil"/>
              <w:left w:val="nil"/>
              <w:bottom w:val="nil"/>
              <w:right w:val="nil"/>
            </w:tcBorders>
            <w:vAlign w:val="top"/>
          </w:tcPr>
          <w:p>
            <w:pPr>
              <w:widowControl w:val="0"/>
              <w:jc w:val="both"/>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eastAsia="宋体" w:cs="Times New Roman"/>
                <w:sz w:val="20"/>
                <w:szCs w:val="20"/>
                <w:lang w:val="en-US" w:eastAsia="zh-CN"/>
              </w:rPr>
              <w:t>Feb</w:t>
            </w:r>
            <w:r>
              <w:rPr>
                <w:rFonts w:hint="default" w:ascii="Times New Roman" w:hAnsi="Times New Roman" w:cs="Times New Roman"/>
                <w:sz w:val="20"/>
                <w:szCs w:val="20"/>
                <w:lang w:val="en-US" w:eastAsia="zh-CN"/>
              </w:rPr>
              <w:t xml:space="preserve">,2001 to </w:t>
            </w:r>
            <w:r>
              <w:rPr>
                <w:rFonts w:hint="default" w:ascii="Times New Roman" w:hAnsi="Times New Roman" w:eastAsia="宋体" w:cs="Times New Roman"/>
                <w:sz w:val="20"/>
                <w:szCs w:val="20"/>
                <w:lang w:val="en-US" w:eastAsia="zh-CN"/>
              </w:rPr>
              <w:t>May</w:t>
            </w:r>
            <w:r>
              <w:rPr>
                <w:rFonts w:hint="default"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2011</w:t>
            </w:r>
          </w:p>
        </w:tc>
        <w:tc>
          <w:tcPr>
            <w:tcW w:w="2304" w:type="dxa"/>
            <w:tcBorders>
              <w:top w:val="nil"/>
              <w:left w:val="nil"/>
              <w:bottom w:val="nil"/>
              <w:right w:val="nil"/>
            </w:tcBorders>
            <w:vAlign w:val="top"/>
          </w:tcPr>
          <w:p>
            <w:pPr>
              <w:widowControl w:val="0"/>
              <w:jc w:val="both"/>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sz w:val="20"/>
                <w:szCs w:val="20"/>
              </w:rPr>
              <w:t>Case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control study</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12.54</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 xml:space="preserve">5.06 </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10.35 ± 2.54</w:t>
            </w:r>
          </w:p>
        </w:tc>
        <w:tc>
          <w:tcPr>
            <w:tcW w:w="1722"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32.88 ± 1.45/ </w:t>
            </w:r>
          </w:p>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33 ± 1.49</w:t>
            </w:r>
          </w:p>
        </w:tc>
        <w:tc>
          <w:tcPr>
            <w:tcW w:w="1695"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1792</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516.49/</w:t>
            </w:r>
          </w:p>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1805 ± 506.39</w:t>
            </w:r>
          </w:p>
        </w:tc>
        <w:tc>
          <w:tcPr>
            <w:tcW w:w="1420" w:type="dxa"/>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LOS</w:t>
            </w:r>
          </w:p>
        </w:tc>
        <w:tc>
          <w:tcPr>
            <w:tcW w:w="4100"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Babies diagnosed by clinical and laboratory findings as late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neonatal sepsis</w:t>
            </w:r>
            <w:r>
              <w:rPr>
                <w:rFonts w:hint="default" w:ascii="Times New Roman" w:hAnsi="Times New Roman" w:cs="Times New Roman"/>
                <w:sz w:val="20"/>
                <w:szCs w:val="20"/>
                <w:lang w:val="en-US" w:eastAsia="zh-CN"/>
              </w:rPr>
              <w:t>.</w:t>
            </w:r>
          </w:p>
        </w:tc>
        <w:tc>
          <w:tcPr>
            <w:tcW w:w="3385" w:type="dxa"/>
            <w:gridSpan w:val="2"/>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healthy </w:t>
            </w:r>
            <w:r>
              <w:rPr>
                <w:rFonts w:hint="default" w:ascii="Times New Roman" w:hAnsi="Times New Roman" w:cs="Times New Roman"/>
                <w:sz w:val="20"/>
                <w:szCs w:val="20"/>
              </w:rPr>
              <w:t>neonat</w:t>
            </w:r>
            <w:r>
              <w:rPr>
                <w:rFonts w:hint="default" w:ascii="Times New Roman" w:hAnsi="Times New Roman" w:cs="Times New Roman"/>
                <w:sz w:val="20"/>
                <w:szCs w:val="20"/>
                <w:lang w:val="en-US"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1930"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Groselj-Grenc</w:t>
            </w:r>
          </w:p>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i w:val="0"/>
                <w:color w:val="000000"/>
                <w:kern w:val="0"/>
                <w:sz w:val="20"/>
                <w:szCs w:val="20"/>
                <w:u w:val="none"/>
                <w:lang w:val="en-US" w:eastAsia="zh-CN" w:bidi="ar"/>
              </w:rPr>
              <w:t xml:space="preserve">et al,2009 </w:t>
            </w:r>
            <w:r>
              <w:rPr>
                <w:rFonts w:hint="default" w:ascii="Times New Roman" w:hAnsi="Times New Roman" w:cs="Times New Roman"/>
                <w:b w:val="0"/>
                <w:bCs w:val="0"/>
                <w:i w:val="0"/>
                <w:color w:val="000000"/>
                <w:kern w:val="0"/>
                <w:sz w:val="20"/>
                <w:szCs w:val="20"/>
                <w:u w:val="none"/>
                <w:lang w:val="en-US" w:eastAsia="zh-CN" w:bidi="ar"/>
              </w:rPr>
              <w:t>[23]</w:t>
            </w:r>
          </w:p>
        </w:tc>
        <w:tc>
          <w:tcPr>
            <w:tcW w:w="1552"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Slovenia</w:t>
            </w:r>
          </w:p>
        </w:tc>
        <w:tc>
          <w:tcPr>
            <w:tcW w:w="1365"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NA</w:t>
            </w:r>
          </w:p>
        </w:tc>
        <w:tc>
          <w:tcPr>
            <w:tcW w:w="2304"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prospective cohort study</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1  (0–18) </w:t>
            </w:r>
          </w:p>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0  (0–13)</w:t>
            </w:r>
          </w:p>
        </w:tc>
        <w:tc>
          <w:tcPr>
            <w:tcW w:w="1722"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38.3(32.4–41.1) 38.4(32.4–41.4)</w:t>
            </w:r>
          </w:p>
        </w:tc>
        <w:tc>
          <w:tcPr>
            <w:tcW w:w="1695"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3,050g (1,400–3,850)</w:t>
            </w:r>
          </w:p>
        </w:tc>
        <w:tc>
          <w:tcPr>
            <w:tcW w:w="1420" w:type="dxa"/>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Early and Late</w:t>
            </w:r>
          </w:p>
        </w:tc>
        <w:tc>
          <w:tcPr>
            <w:tcW w:w="4100"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 xml:space="preserve">SIRS and positive blood culture or meningococcal rash or recovery with antibiotics: n = </w:t>
            </w:r>
            <w:r>
              <w:rPr>
                <w:rFonts w:hint="default" w:ascii="Times New Roman" w:hAnsi="Times New Roman" w:cs="Times New Roman"/>
                <w:sz w:val="20"/>
                <w:szCs w:val="20"/>
                <w:lang w:val="en-US" w:eastAsia="zh-CN"/>
              </w:rPr>
              <w:t>17</w:t>
            </w:r>
          </w:p>
        </w:tc>
        <w:tc>
          <w:tcPr>
            <w:tcW w:w="3385" w:type="dxa"/>
            <w:gridSpan w:val="2"/>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 xml:space="preserve">Negative infectious status: n = </w:t>
            </w:r>
            <w:r>
              <w:rPr>
                <w:rFonts w:hint="default" w:ascii="Times New Roman" w:hAnsi="Times New Roman" w:cs="Times New Roman"/>
                <w:sz w:val="20"/>
                <w:szCs w:val="20"/>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1" w:hRule="atLeast"/>
        </w:trPr>
        <w:tc>
          <w:tcPr>
            <w:tcW w:w="1930"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Kocabas et al</w:t>
            </w:r>
            <w:r>
              <w:rPr>
                <w:rFonts w:hint="default" w:ascii="Times New Roman" w:hAnsi="Times New Roman" w:cs="Times New Roman"/>
                <w:i w:val="0"/>
                <w:color w:val="000000"/>
                <w:kern w:val="0"/>
                <w:sz w:val="20"/>
                <w:szCs w:val="20"/>
                <w:u w:val="none"/>
                <w:lang w:val="en-US" w:eastAsia="zh-CN" w:bidi="ar"/>
              </w:rPr>
              <w:t>，2007(excluded)</w:t>
            </w:r>
          </w:p>
        </w:tc>
        <w:tc>
          <w:tcPr>
            <w:tcW w:w="1552"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Turkey</w:t>
            </w:r>
          </w:p>
        </w:tc>
        <w:tc>
          <w:tcPr>
            <w:tcW w:w="1365"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i w:val="0"/>
                <w:color w:val="000000"/>
                <w:kern w:val="0"/>
                <w:sz w:val="20"/>
                <w:szCs w:val="20"/>
                <w:u w:val="none"/>
                <w:lang w:val="en-US" w:eastAsia="zh-CN" w:bidi="ar"/>
              </w:rPr>
              <w:t>May,2000 to Janu,2001</w:t>
            </w:r>
          </w:p>
        </w:tc>
        <w:tc>
          <w:tcPr>
            <w:tcW w:w="230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control study</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6</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5</w:t>
            </w:r>
          </w:p>
        </w:tc>
        <w:tc>
          <w:tcPr>
            <w:tcW w:w="1722"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38(35.8±4.10)  38（37.3±2.4）</w:t>
            </w:r>
          </w:p>
        </w:tc>
        <w:tc>
          <w:tcPr>
            <w:tcW w:w="1695"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2938.1 ± 1137.3</w:t>
            </w:r>
          </w:p>
        </w:tc>
        <w:tc>
          <w:tcPr>
            <w:tcW w:w="1420" w:type="dxa"/>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EOS: 13/26 (50%)</w:t>
            </w:r>
          </w:p>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LOS: 13/26 (50%)</w:t>
            </w:r>
          </w:p>
        </w:tc>
        <w:tc>
          <w:tcPr>
            <w:tcW w:w="4100"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Sepsis patients: positive blood culture and clinical signs of sepsis: n = 26</w:t>
            </w:r>
          </w:p>
        </w:tc>
        <w:tc>
          <w:tcPr>
            <w:tcW w:w="3385" w:type="dxa"/>
            <w:gridSpan w:val="2"/>
            <w:tcBorders>
              <w:top w:val="nil"/>
              <w:left w:val="nil"/>
              <w:bottom w:val="nil"/>
              <w:right w:val="nil"/>
            </w:tcBorders>
            <w:vAlign w:val="top"/>
          </w:tcPr>
          <w:p>
            <w:pPr>
              <w:widowControl w:val="0"/>
              <w:jc w:val="both"/>
              <w:rPr>
                <w:rFonts w:hint="default" w:ascii="Times New Roman" w:hAnsi="Times New Roman" w:cs="Times New Roman"/>
                <w:sz w:val="20"/>
                <w:szCs w:val="20"/>
              </w:rPr>
            </w:pP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Healthy neonates: n = 29</w:t>
            </w:r>
          </w:p>
          <w:p>
            <w:pPr>
              <w:widowControl w:val="0"/>
              <w:jc w:val="both"/>
              <w:rPr>
                <w:rFonts w:hint="default" w:ascii="Times New Roman" w:hAnsi="Times New Roman" w:cs="Times New Roman"/>
                <w:sz w:val="20"/>
                <w:szCs w:val="20"/>
              </w:rPr>
            </w:pPr>
          </w:p>
          <w:p>
            <w:pPr>
              <w:widowControl w:val="0"/>
              <w:jc w:val="both"/>
              <w:rPr>
                <w:rFonts w:hint="default" w:ascii="Times New Roman" w:hAnsi="Times New Roman" w:eastAsia="宋体"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1" w:hRule="atLeast"/>
        </w:trPr>
        <w:tc>
          <w:tcPr>
            <w:tcW w:w="1930"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Jacquot et al,2009</w:t>
            </w:r>
          </w:p>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b w:val="0"/>
                <w:bCs w:val="0"/>
                <w:i w:val="0"/>
                <w:color w:val="000000"/>
                <w:kern w:val="0"/>
                <w:sz w:val="20"/>
                <w:szCs w:val="20"/>
                <w:u w:val="none"/>
                <w:lang w:val="en-US" w:eastAsia="zh-CN" w:bidi="ar"/>
              </w:rPr>
              <w:t>[33]</w:t>
            </w:r>
          </w:p>
        </w:tc>
        <w:tc>
          <w:tcPr>
            <w:tcW w:w="1552" w:type="dxa"/>
            <w:tcBorders>
              <w:top w:val="nil"/>
              <w:left w:val="nil"/>
              <w:bottom w:val="nil"/>
              <w:right w:val="nil"/>
            </w:tcBorders>
            <w:vAlign w:val="top"/>
          </w:tcPr>
          <w:p>
            <w:pPr>
              <w:widowControl w:val="0"/>
              <w:jc w:val="both"/>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France</w:t>
            </w:r>
          </w:p>
          <w:p>
            <w:pPr>
              <w:widowControl w:val="0"/>
              <w:jc w:val="both"/>
              <w:rPr>
                <w:rFonts w:hint="default" w:ascii="Times New Roman" w:hAnsi="Times New Roman" w:eastAsia="宋体" w:cs="Times New Roman"/>
                <w:i w:val="0"/>
                <w:color w:val="000000"/>
                <w:kern w:val="0"/>
                <w:sz w:val="20"/>
                <w:szCs w:val="20"/>
                <w:u w:val="none"/>
                <w:lang w:val="en-US" w:eastAsia="zh-CN" w:bidi="ar"/>
              </w:rPr>
            </w:pPr>
          </w:p>
        </w:tc>
        <w:tc>
          <w:tcPr>
            <w:tcW w:w="1365" w:type="dxa"/>
            <w:tcBorders>
              <w:top w:val="nil"/>
              <w:left w:val="nil"/>
              <w:bottom w:val="nil"/>
              <w:right w:val="nil"/>
            </w:tcBorders>
            <w:vAlign w:val="top"/>
          </w:tcPr>
          <w:p>
            <w:pPr>
              <w:widowControl w:val="0"/>
              <w:jc w:val="both"/>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June,2005 to May,2006</w:t>
            </w:r>
          </w:p>
        </w:tc>
        <w:tc>
          <w:tcPr>
            <w:tcW w:w="230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Prospective cohort</w:t>
            </w:r>
          </w:p>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study</w:t>
            </w:r>
          </w:p>
        </w:tc>
        <w:tc>
          <w:tcPr>
            <w:tcW w:w="1584"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rPr>
              <w:t>11 (8</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19)</w:t>
            </w:r>
            <w:r>
              <w:rPr>
                <w:rFonts w:hint="default" w:ascii="Times New Roman" w:hAnsi="Times New Roman" w:cs="Times New Roman"/>
                <w:sz w:val="20"/>
                <w:szCs w:val="20"/>
                <w:lang w:val="en-US" w:eastAsia="zh-CN"/>
              </w:rPr>
              <w:t>/</w:t>
            </w:r>
          </w:p>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12 (8-18)</w:t>
            </w:r>
          </w:p>
        </w:tc>
        <w:tc>
          <w:tcPr>
            <w:tcW w:w="1722"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rPr>
              <w:t>28 (26–29)</w:t>
            </w:r>
            <w:r>
              <w:rPr>
                <w:rFonts w:hint="default" w:ascii="Times New Roman" w:hAnsi="Times New Roman" w:cs="Times New Roman"/>
                <w:sz w:val="20"/>
                <w:szCs w:val="20"/>
                <w:lang w:val="en-US" w:eastAsia="zh-CN"/>
              </w:rPr>
              <w:t>/</w:t>
            </w:r>
          </w:p>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28 (26–31)</w:t>
            </w:r>
          </w:p>
        </w:tc>
        <w:tc>
          <w:tcPr>
            <w:tcW w:w="1695" w:type="dxa"/>
            <w:tcBorders>
              <w:top w:val="nil"/>
              <w:left w:val="nil"/>
              <w:bottom w:val="nil"/>
              <w:right w:val="nil"/>
            </w:tcBorders>
            <w:vAlign w:val="top"/>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sz w:val="20"/>
                <w:szCs w:val="20"/>
              </w:rPr>
              <w:t>990(705–1220)</w:t>
            </w:r>
            <w:r>
              <w:rPr>
                <w:rFonts w:hint="default" w:ascii="Times New Roman" w:hAnsi="Times New Roman" w:cs="Times New Roman"/>
                <w:sz w:val="20"/>
                <w:szCs w:val="20"/>
                <w:lang w:val="en-US" w:eastAsia="zh-CN"/>
              </w:rPr>
              <w:t>/1030(765–1460)</w:t>
            </w:r>
          </w:p>
        </w:tc>
        <w:tc>
          <w:tcPr>
            <w:tcW w:w="1420" w:type="dxa"/>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LOS</w:t>
            </w:r>
          </w:p>
        </w:tc>
        <w:tc>
          <w:tcPr>
            <w:tcW w:w="4100" w:type="dxa"/>
            <w:tcBorders>
              <w:top w:val="nil"/>
              <w:left w:val="nil"/>
              <w:bottom w:val="nil"/>
              <w:right w:val="nil"/>
            </w:tcBorders>
            <w:vAlign w:val="top"/>
          </w:tcPr>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Infected patients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[definite (positive blood</w:t>
            </w:r>
          </w:p>
          <w:p>
            <w:pPr>
              <w:widowControl w:val="0"/>
              <w:jc w:val="both"/>
              <w:rPr>
                <w:rFonts w:hint="default" w:ascii="Times New Roman" w:hAnsi="Times New Roman" w:cs="Times New Roman"/>
                <w:sz w:val="20"/>
                <w:szCs w:val="20"/>
              </w:rPr>
            </w:pPr>
            <w:r>
              <w:rPr>
                <w:rFonts w:hint="default" w:ascii="Times New Roman" w:hAnsi="Times New Roman" w:cs="Times New Roman"/>
                <w:sz w:val="20"/>
                <w:szCs w:val="20"/>
              </w:rPr>
              <w:t>culture/meningitis/pneumonia) or possible</w:t>
            </w:r>
          </w:p>
          <w:p>
            <w:pPr>
              <w:widowControl w:val="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rPr>
              <w:t>infection (no pathogen identified)]: n = 30</w:t>
            </w:r>
          </w:p>
        </w:tc>
        <w:tc>
          <w:tcPr>
            <w:tcW w:w="3385" w:type="dxa"/>
            <w:gridSpan w:val="2"/>
            <w:tcBorders>
              <w:top w:val="nil"/>
              <w:left w:val="nil"/>
              <w:bottom w:val="nil"/>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Non-infected patients: n =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2" w:hRule="atLeast"/>
        </w:trPr>
        <w:tc>
          <w:tcPr>
            <w:tcW w:w="1930" w:type="dxa"/>
            <w:tcBorders>
              <w:top w:val="nil"/>
              <w:left w:val="nil"/>
              <w:bottom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jc w:val="both"/>
              <w:outlineLvl w:val="9"/>
              <w:rPr>
                <w:rFonts w:hint="default" w:ascii="Times New Roman" w:hAnsi="Times New Roman" w:cs="Times New Roman"/>
                <w:b w:val="0"/>
                <w:bCs w:val="0"/>
                <w:i w:val="0"/>
                <w:color w:val="000000"/>
                <w:kern w:val="0"/>
                <w:sz w:val="20"/>
                <w:szCs w:val="20"/>
                <w:u w:val="none"/>
                <w:lang w:val="en-US" w:eastAsia="zh-CN" w:bidi="ar"/>
              </w:rPr>
            </w:pPr>
            <w:r>
              <w:rPr>
                <w:rFonts w:hint="default" w:ascii="Times New Roman" w:hAnsi="Times New Roman" w:cs="Times New Roman"/>
                <w:sz w:val="20"/>
                <w:szCs w:val="20"/>
              </w:rPr>
              <w:t>Kwabena</w:t>
            </w:r>
            <w:r>
              <w:rPr>
                <w:rFonts w:hint="default" w:ascii="Times New Roman" w:hAnsi="Times New Roman" w:cs="Times New Roman"/>
                <w:sz w:val="20"/>
                <w:szCs w:val="20"/>
                <w:lang w:val="en-US" w:eastAsia="zh-CN"/>
              </w:rPr>
              <w:t xml:space="preserve"> et al, 2017 (exclude)</w:t>
            </w:r>
          </w:p>
        </w:tc>
        <w:tc>
          <w:tcPr>
            <w:tcW w:w="1552" w:type="dxa"/>
            <w:tcBorders>
              <w:top w:val="nil"/>
              <w:left w:val="nil"/>
              <w:bottom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jc w:val="both"/>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rPr>
              <w:t xml:space="preserve">Ghana </w:t>
            </w:r>
          </w:p>
        </w:tc>
        <w:tc>
          <w:tcPr>
            <w:tcW w:w="1365" w:type="dxa"/>
            <w:tcBorders>
              <w:top w:val="nil"/>
              <w:left w:val="nil"/>
              <w:bottom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jc w:val="both"/>
              <w:outlineLvl w:val="9"/>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rPr>
              <w:t xml:space="preserve">November 2013 to June 2014. </w:t>
            </w:r>
          </w:p>
        </w:tc>
        <w:tc>
          <w:tcPr>
            <w:tcW w:w="2304" w:type="dxa"/>
            <w:tcBorders>
              <w:top w:val="nil"/>
              <w:left w:val="nil"/>
              <w:bottom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jc w:val="both"/>
              <w:outlineLvl w:val="9"/>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sz w:val="20"/>
                <w:szCs w:val="20"/>
              </w:rPr>
              <w:t xml:space="preserve">cross-sectional study </w:t>
            </w:r>
          </w:p>
        </w:tc>
        <w:tc>
          <w:tcPr>
            <w:tcW w:w="1584" w:type="dxa"/>
            <w:tcBorders>
              <w:top w:val="nil"/>
              <w:left w:val="nil"/>
              <w:bottom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jc w:val="both"/>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NA</w:t>
            </w:r>
          </w:p>
        </w:tc>
        <w:tc>
          <w:tcPr>
            <w:tcW w:w="1722" w:type="dxa"/>
            <w:tcBorders>
              <w:top w:val="nil"/>
              <w:left w:val="nil"/>
              <w:bottom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jc w:val="both"/>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NA</w:t>
            </w:r>
          </w:p>
        </w:tc>
        <w:tc>
          <w:tcPr>
            <w:tcW w:w="1695" w:type="dxa"/>
            <w:tcBorders>
              <w:top w:val="nil"/>
              <w:left w:val="nil"/>
              <w:bottom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jc w:val="both"/>
              <w:outlineLvl w:val="9"/>
              <w:rPr>
                <w:rFonts w:hint="default" w:ascii="Times New Roman" w:hAnsi="Times New Roman" w:cs="Times New Roman"/>
                <w:sz w:val="20"/>
                <w:szCs w:val="20"/>
              </w:rPr>
            </w:pPr>
            <w:r>
              <w:rPr>
                <w:rFonts w:hint="default" w:ascii="Times New Roman" w:hAnsi="Times New Roman" w:cs="Times New Roman"/>
                <w:sz w:val="20"/>
                <w:szCs w:val="20"/>
                <w:lang w:val="en-US" w:eastAsia="zh-CN"/>
              </w:rPr>
              <w:t>NA</w:t>
            </w:r>
          </w:p>
        </w:tc>
        <w:tc>
          <w:tcPr>
            <w:tcW w:w="1420" w:type="dxa"/>
            <w:tcBorders>
              <w:top w:val="nil"/>
              <w:left w:val="nil"/>
              <w:bottom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jc w:val="both"/>
              <w:outlineLvl w:val="9"/>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EOS</w:t>
            </w:r>
          </w:p>
        </w:tc>
        <w:tc>
          <w:tcPr>
            <w:tcW w:w="4100" w:type="dxa"/>
            <w:tcBorders>
              <w:top w:val="nil"/>
              <w:left w:val="nil"/>
              <w:bottom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jc w:val="both"/>
              <w:outlineLvl w:val="9"/>
              <w:rPr>
                <w:rFonts w:hint="default" w:ascii="Times New Roman" w:hAnsi="Times New Roman" w:cs="Times New Roman"/>
                <w:sz w:val="20"/>
                <w:szCs w:val="20"/>
              </w:rPr>
            </w:pPr>
            <w:r>
              <w:rPr>
                <w:rFonts w:hint="default" w:ascii="Times New Roman" w:hAnsi="Times New Roman" w:cs="Times New Roman"/>
                <w:sz w:val="20"/>
                <w:szCs w:val="20"/>
              </w:rPr>
              <w:t>Eligible neonates were categorized as ''highly probable'', ''probable'' and ''less probable'' neonatal sepsis based on an adapted criteria from Tollner's sepsis score and case definition of bloodstream infection by Vergnano et al</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w:t>
            </w:r>
          </w:p>
        </w:tc>
        <w:tc>
          <w:tcPr>
            <w:tcW w:w="3385" w:type="dxa"/>
            <w:gridSpan w:val="2"/>
            <w:tcBorders>
              <w:top w:val="nil"/>
              <w:left w:val="nil"/>
              <w:bottom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jc w:val="both"/>
              <w:outlineLvl w:val="9"/>
              <w:rPr>
                <w:rFonts w:hint="default" w:ascii="Times New Roman" w:hAnsi="Times New Roman" w:cs="Times New Roman"/>
                <w:sz w:val="20"/>
                <w:szCs w:val="20"/>
              </w:rPr>
            </w:pPr>
            <w:r>
              <w:rPr>
                <w:rFonts w:hint="default" w:ascii="Times New Roman" w:hAnsi="Times New Roman" w:cs="Times New Roman"/>
                <w:sz w:val="20"/>
                <w:szCs w:val="20"/>
                <w:lang w:val="en-US" w:eastAsia="zh-CN"/>
              </w:rPr>
              <w:t>NA</w:t>
            </w:r>
          </w:p>
        </w:tc>
      </w:tr>
    </w:tbl>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EOS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early onset sepsis, LOS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late-onset sepsis</w:t>
      </w:r>
      <w:r>
        <w:rPr>
          <w:rFonts w:hint="default" w:ascii="Times New Roman" w:hAnsi="Times New Roman" w:cs="Times New Roman"/>
          <w:sz w:val="20"/>
          <w:szCs w:val="20"/>
          <w:lang w:val="en-US" w:eastAsia="zh-CN"/>
        </w:rPr>
        <w:t xml:space="preserve">, CRP: C-Reactive Protein </w:t>
      </w:r>
    </w:p>
    <w:p>
      <w:pPr>
        <w:rPr>
          <w:rFonts w:hint="default" w:ascii="Times New Roman" w:hAnsi="Times New Roman" w:cs="Times New Roman"/>
          <w:sz w:val="20"/>
          <w:szCs w:val="20"/>
        </w:rPr>
      </w:pPr>
    </w:p>
    <w:p>
      <w:pPr>
        <w:rPr>
          <w:rFonts w:hint="default" w:ascii="Times New Roman" w:hAnsi="Times New Roman" w:cs="Times New Roman"/>
          <w:sz w:val="20"/>
          <w:szCs w:val="20"/>
        </w:rPr>
      </w:pPr>
    </w:p>
    <w:p>
      <w:pPr>
        <w:rPr>
          <w:rFonts w:hint="default" w:ascii="Times New Roman" w:hAnsi="Times New Roman" w:cs="Times New Roman"/>
          <w:sz w:val="20"/>
          <w:szCs w:val="20"/>
        </w:rPr>
      </w:pPr>
    </w:p>
    <w:p>
      <w:pPr>
        <w:rPr>
          <w:rFonts w:hint="default" w:ascii="Times New Roman" w:hAnsi="Times New Roman" w:cs="Times New Roman"/>
          <w:sz w:val="20"/>
          <w:szCs w:val="20"/>
        </w:rPr>
      </w:pPr>
    </w:p>
    <w:p>
      <w:pPr>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 xml:space="preserve"> continued</w:t>
      </w:r>
    </w:p>
    <w:tbl>
      <w:tblPr>
        <w:tblStyle w:val="5"/>
        <w:tblW w:w="21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1552"/>
        <w:gridCol w:w="1365"/>
        <w:gridCol w:w="2304"/>
        <w:gridCol w:w="1584"/>
        <w:gridCol w:w="1722"/>
        <w:gridCol w:w="1695"/>
        <w:gridCol w:w="1420"/>
        <w:gridCol w:w="3500"/>
        <w:gridCol w:w="3984"/>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07" w:hRule="atLeast"/>
        </w:trPr>
        <w:tc>
          <w:tcPr>
            <w:tcW w:w="1930"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Author, </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publication</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year</w:t>
            </w:r>
          </w:p>
        </w:tc>
        <w:tc>
          <w:tcPr>
            <w:tcW w:w="1552"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Country</w:t>
            </w:r>
            <w:r>
              <w:rPr>
                <w:rFonts w:hint="default" w:ascii="Times New Roman" w:hAnsi="Times New Roman" w:cs="Times New Roman"/>
                <w:b/>
                <w:bCs/>
                <w:sz w:val="20"/>
                <w:szCs w:val="20"/>
                <w:lang w:val="en-US" w:eastAsia="zh-CN"/>
              </w:rPr>
              <w:t>, Region</w:t>
            </w:r>
          </w:p>
        </w:tc>
        <w:tc>
          <w:tcPr>
            <w:tcW w:w="1365"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Study period</w:t>
            </w:r>
          </w:p>
        </w:tc>
        <w:tc>
          <w:tcPr>
            <w:tcW w:w="2304"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Study design</w:t>
            </w:r>
          </w:p>
        </w:tc>
        <w:tc>
          <w:tcPr>
            <w:tcW w:w="5001" w:type="dxa"/>
            <w:gridSpan w:val="3"/>
            <w:tcBorders>
              <w:left w:val="nil"/>
              <w:right w:val="nil"/>
            </w:tcBorders>
            <w:vAlign w:val="top"/>
          </w:tcPr>
          <w:p>
            <w:pPr>
              <w:widowControl w:val="0"/>
              <w:ind w:firstLine="1405" w:firstLineChars="700"/>
              <w:jc w:val="both"/>
              <w:rPr>
                <w:rFonts w:hint="default" w:ascii="Times New Roman" w:hAnsi="Times New Roman" w:cs="Times New Roman"/>
                <w:b/>
                <w:bCs/>
                <w:sz w:val="20"/>
                <w:szCs w:val="20"/>
              </w:rPr>
            </w:pPr>
            <w:r>
              <w:rPr>
                <w:rFonts w:hint="default" w:ascii="Times New Roman" w:hAnsi="Times New Roman" w:cs="Times New Roman"/>
                <w:b/>
                <w:bCs/>
                <w:sz w:val="20"/>
                <w:szCs w:val="20"/>
              </w:rPr>
              <w:t>Study population</w:t>
            </w:r>
          </w:p>
        </w:tc>
        <w:tc>
          <w:tcPr>
            <w:tcW w:w="1420" w:type="dxa"/>
            <w:vMerge w:val="restart"/>
            <w:tcBorders>
              <w:left w:val="nil"/>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Sepsis onset</w:t>
            </w:r>
          </w:p>
        </w:tc>
        <w:tc>
          <w:tcPr>
            <w:tcW w:w="7484" w:type="dxa"/>
            <w:gridSpan w:val="2"/>
            <w:tcBorders>
              <w:left w:val="nil"/>
              <w:bottom w:val="single" w:color="auto" w:sz="4" w:space="0"/>
              <w:right w:val="nil"/>
            </w:tcBorders>
            <w:vAlign w:val="top"/>
          </w:tcPr>
          <w:p>
            <w:pPr>
              <w:widowControl w:val="0"/>
              <w:ind w:firstLine="1606" w:firstLineChars="800"/>
              <w:jc w:val="both"/>
              <w:rPr>
                <w:rFonts w:hint="default" w:ascii="Times New Roman" w:hAnsi="Times New Roman" w:cs="Times New Roman"/>
                <w:b/>
                <w:bCs/>
                <w:sz w:val="20"/>
                <w:szCs w:val="20"/>
              </w:rPr>
            </w:pPr>
            <w:r>
              <w:rPr>
                <w:rFonts w:hint="default" w:ascii="Times New Roman" w:hAnsi="Times New Roman" w:cs="Times New Roman"/>
                <w:b/>
                <w:bCs/>
                <w:sz w:val="20"/>
                <w:szCs w:val="20"/>
              </w:rPr>
              <w:t>Characteristics and number of patients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930"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1552"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1365"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2304"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1584"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(day)</w:t>
            </w:r>
          </w:p>
          <w:p>
            <w:pPr>
              <w:widowControl w:val="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(sep/Non-sep)</w:t>
            </w:r>
          </w:p>
        </w:tc>
        <w:tc>
          <w:tcPr>
            <w:tcW w:w="1722"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Gestational</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(sep/Non-sep)</w:t>
            </w:r>
            <w:r>
              <w:rPr>
                <w:rFonts w:hint="default" w:ascii="Times New Roman" w:hAnsi="Times New Roman" w:cs="Times New Roman"/>
                <w:b/>
                <w:bCs/>
                <w:sz w:val="20"/>
                <w:szCs w:val="20"/>
              </w:rPr>
              <w:t>(weeks)</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(mean ± SD)</w:t>
            </w:r>
          </w:p>
        </w:tc>
        <w:tc>
          <w:tcPr>
            <w:tcW w:w="1695"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Weight</w:t>
            </w:r>
            <w:r>
              <w:rPr>
                <w:rFonts w:hint="default" w:ascii="Times New Roman" w:hAnsi="Times New Roman" w:cs="Times New Roman"/>
                <w:b/>
                <w:bCs/>
                <w:sz w:val="20"/>
                <w:szCs w:val="20"/>
                <w:lang w:val="en-US" w:eastAsia="zh-CN"/>
              </w:rPr>
              <w:t>(sep/</w:t>
            </w:r>
          </w:p>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lang w:val="en-US" w:eastAsia="zh-CN"/>
              </w:rPr>
              <w:t xml:space="preserve">Non-sep)  </w:t>
            </w:r>
            <w:r>
              <w:rPr>
                <w:rFonts w:hint="default" w:ascii="Times New Roman" w:hAnsi="Times New Roman" w:cs="Times New Roman"/>
                <w:b/>
                <w:bCs/>
                <w:sz w:val="20"/>
                <w:szCs w:val="20"/>
              </w:rPr>
              <w:t>(mean ± SD, g)</w:t>
            </w:r>
          </w:p>
        </w:tc>
        <w:tc>
          <w:tcPr>
            <w:tcW w:w="1420" w:type="dxa"/>
            <w:vMerge w:val="continue"/>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p>
        </w:tc>
        <w:tc>
          <w:tcPr>
            <w:tcW w:w="3500" w:type="dxa"/>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Septic group</w:t>
            </w:r>
          </w:p>
        </w:tc>
        <w:tc>
          <w:tcPr>
            <w:tcW w:w="3985" w:type="dxa"/>
            <w:gridSpan w:val="2"/>
            <w:tcBorders>
              <w:left w:val="nil"/>
              <w:bottom w:val="single" w:color="auto" w:sz="4" w:space="0"/>
              <w:right w:val="nil"/>
            </w:tcBorders>
            <w:vAlign w:val="top"/>
          </w:tcPr>
          <w:p>
            <w:pPr>
              <w:widowControl w:val="0"/>
              <w:jc w:val="both"/>
              <w:rPr>
                <w:rFonts w:hint="default" w:ascii="Times New Roman" w:hAnsi="Times New Roman" w:cs="Times New Roman"/>
                <w:b/>
                <w:bCs/>
                <w:sz w:val="20"/>
                <w:szCs w:val="20"/>
              </w:rPr>
            </w:pPr>
            <w:r>
              <w:rPr>
                <w:rFonts w:hint="default" w:ascii="Times New Roman" w:hAnsi="Times New Roman" w:cs="Times New Roman"/>
                <w:b/>
                <w:bCs/>
                <w:sz w:val="20"/>
                <w:szCs w:val="20"/>
              </w:rPr>
              <w:t>Non-septic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53" w:hRule="atLeast"/>
        </w:trPr>
        <w:tc>
          <w:tcPr>
            <w:tcW w:w="1930" w:type="dxa"/>
            <w:tcBorders>
              <w:top w:val="single" w:color="auto" w:sz="4" w:space="0"/>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Yuan et al,2017</w:t>
            </w:r>
          </w:p>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b w:val="0"/>
                <w:bCs w:val="0"/>
                <w:i w:val="0"/>
                <w:color w:val="000000"/>
                <w:kern w:val="0"/>
                <w:sz w:val="20"/>
                <w:szCs w:val="20"/>
                <w:u w:val="none"/>
                <w:lang w:val="en-US" w:eastAsia="zh-CN" w:bidi="ar"/>
              </w:rPr>
              <w:t>[24]</w:t>
            </w:r>
          </w:p>
        </w:tc>
        <w:tc>
          <w:tcPr>
            <w:tcW w:w="1552" w:type="dxa"/>
            <w:tcBorders>
              <w:top w:val="single" w:color="auto" w:sz="4" w:space="0"/>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China</w:t>
            </w:r>
          </w:p>
        </w:tc>
        <w:tc>
          <w:tcPr>
            <w:tcW w:w="1365" w:type="dxa"/>
            <w:tcBorders>
              <w:top w:val="single" w:color="auto" w:sz="4" w:space="0"/>
              <w:left w:val="nil"/>
              <w:bottom w:val="single" w:color="auto" w:sz="4" w:space="0"/>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Janu,2014-June,2015</w:t>
            </w:r>
          </w:p>
        </w:tc>
        <w:tc>
          <w:tcPr>
            <w:tcW w:w="2304" w:type="dxa"/>
            <w:tcBorders>
              <w:top w:val="single" w:color="auto" w:sz="4" w:space="0"/>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control study</w:t>
            </w:r>
          </w:p>
        </w:tc>
        <w:tc>
          <w:tcPr>
            <w:tcW w:w="1584" w:type="dxa"/>
            <w:tcBorders>
              <w:top w:val="single" w:color="auto" w:sz="4" w:space="0"/>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9/7</w:t>
            </w:r>
          </w:p>
        </w:tc>
        <w:tc>
          <w:tcPr>
            <w:tcW w:w="1722" w:type="dxa"/>
            <w:tcBorders>
              <w:top w:val="single" w:color="auto" w:sz="4" w:space="0"/>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39</w:t>
            </w:r>
          </w:p>
        </w:tc>
        <w:tc>
          <w:tcPr>
            <w:tcW w:w="1695" w:type="dxa"/>
            <w:tcBorders>
              <w:top w:val="single" w:color="auto" w:sz="4" w:space="0"/>
              <w:left w:val="nil"/>
              <w:bottom w:val="single" w:color="auto" w:sz="4" w:space="0"/>
              <w:right w:val="nil"/>
            </w:tcBorders>
            <w:vAlign w:val="top"/>
          </w:tcPr>
          <w:p>
            <w:pPr>
              <w:keepNext w:val="0"/>
              <w:keepLines w:val="0"/>
              <w:widowControl/>
              <w:suppressLineNumbers w:val="0"/>
              <w:jc w:val="both"/>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3316/3472</w:t>
            </w:r>
          </w:p>
        </w:tc>
        <w:tc>
          <w:tcPr>
            <w:tcW w:w="1420" w:type="dxa"/>
            <w:tcBorders>
              <w:top w:val="single" w:color="auto" w:sz="4" w:space="0"/>
              <w:left w:val="nil"/>
              <w:bottom w:val="single" w:color="auto" w:sz="4" w:space="0"/>
              <w:right w:val="nil"/>
            </w:tcBorders>
            <w:vAlign w:val="top"/>
          </w:tcPr>
          <w:p>
            <w:pPr>
              <w:widowControl w:val="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EOS:34</w:t>
            </w:r>
          </w:p>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LOS:47</w:t>
            </w:r>
          </w:p>
        </w:tc>
        <w:tc>
          <w:tcPr>
            <w:tcW w:w="3500" w:type="dxa"/>
            <w:tcBorders>
              <w:top w:val="single" w:color="auto" w:sz="4" w:space="0"/>
              <w:left w:val="nil"/>
              <w:bottom w:val="single" w:color="auto" w:sz="4" w:space="0"/>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N=81</w:t>
            </w:r>
          </w:p>
          <w:p>
            <w:pPr>
              <w:widowControl w:val="0"/>
              <w:numPr>
                <w:ilvl w:val="0"/>
                <w:numId w:val="1"/>
              </w:numPr>
              <w:jc w:val="both"/>
              <w:rPr>
                <w:rFonts w:hint="default" w:ascii="Times New Roman" w:hAnsi="Times New Roman" w:cs="Times New Roman"/>
                <w:sz w:val="20"/>
                <w:szCs w:val="20"/>
              </w:rPr>
            </w:pPr>
            <w:r>
              <w:rPr>
                <w:rFonts w:hint="default" w:ascii="Times New Roman" w:hAnsi="Times New Roman" w:cs="Times New Roman"/>
                <w:sz w:val="20"/>
                <w:szCs w:val="20"/>
              </w:rPr>
              <w:t>Confirm</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diagnosis*:</w:t>
            </w:r>
          </w:p>
          <w:p>
            <w:pPr>
              <w:widowControl w:val="0"/>
              <w:numPr>
                <w:ilvl w:val="0"/>
                <w:numId w:val="0"/>
              </w:numPr>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C</w:t>
            </w:r>
            <w:r>
              <w:rPr>
                <w:rFonts w:hint="default" w:ascii="Times New Roman" w:hAnsi="Times New Roman" w:cs="Times New Roman"/>
                <w:sz w:val="20"/>
                <w:szCs w:val="20"/>
              </w:rPr>
              <w:t>linical manifestations and meet any of the following: (1) blood culture or sterile body cavity culture of pathogens; (2) if the blood culture specimens cultivate pathogens, then must be with another (The same species of bacteria is cultured in blood, or in a sterile body lumen, or in a catheter tip</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w:t>
            </w:r>
          </w:p>
          <w:p>
            <w:pPr>
              <w:widowControl w:val="0"/>
              <w:jc w:val="both"/>
              <w:rPr>
                <w:rFonts w:hint="default" w:ascii="Times New Roman" w:hAnsi="Times New Roman" w:cs="Times New Roman"/>
                <w:sz w:val="20"/>
                <w:szCs w:val="20"/>
              </w:rPr>
            </w:pPr>
          </w:p>
          <w:p>
            <w:pPr>
              <w:widowControl w:val="0"/>
              <w:numPr>
                <w:ilvl w:val="0"/>
                <w:numId w:val="2"/>
              </w:numPr>
              <w:jc w:val="both"/>
              <w:rPr>
                <w:rFonts w:hint="default" w:ascii="Times New Roman" w:hAnsi="Times New Roman" w:cs="Times New Roman"/>
                <w:sz w:val="20"/>
                <w:szCs w:val="20"/>
              </w:rPr>
            </w:pPr>
            <w:r>
              <w:rPr>
                <w:rFonts w:hint="default" w:ascii="Times New Roman" w:hAnsi="Times New Roman" w:cs="Times New Roman"/>
                <w:sz w:val="20"/>
                <w:szCs w:val="20"/>
              </w:rPr>
              <w:t xml:space="preserve">Clinical diagnosis§: clinical manifestations and any of the following: </w:t>
            </w:r>
          </w:p>
          <w:p>
            <w:pPr>
              <w:widowControl w:val="0"/>
              <w:numPr>
                <w:ilvl w:val="0"/>
                <w:numId w:val="3"/>
              </w:numPr>
              <w:jc w:val="both"/>
              <w:rPr>
                <w:rFonts w:hint="default" w:ascii="Times New Roman" w:hAnsi="Times New Roman" w:cs="Times New Roman"/>
                <w:sz w:val="20"/>
                <w:szCs w:val="20"/>
              </w:rPr>
            </w:pPr>
            <w:r>
              <w:rPr>
                <w:rFonts w:hint="default" w:ascii="Times New Roman" w:hAnsi="Times New Roman" w:cs="Times New Roman"/>
                <w:sz w:val="20"/>
                <w:szCs w:val="20"/>
              </w:rPr>
              <w:t xml:space="preserve">non-specific examination ≥ 2. </w:t>
            </w:r>
          </w:p>
          <w:p>
            <w:pPr>
              <w:widowControl w:val="0"/>
              <w:numPr>
                <w:ilvl w:val="0"/>
                <w:numId w:val="0"/>
              </w:numPr>
              <w:jc w:val="both"/>
              <w:rPr>
                <w:rFonts w:hint="default" w:ascii="Times New Roman" w:hAnsi="Times New Roman" w:cs="Times New Roman"/>
                <w:sz w:val="20"/>
                <w:szCs w:val="20"/>
              </w:rPr>
            </w:pPr>
            <w:r>
              <w:rPr>
                <w:rFonts w:hint="default" w:ascii="Times New Roman" w:hAnsi="Times New Roman" w:cs="Times New Roman"/>
                <w:sz w:val="20"/>
                <w:szCs w:val="20"/>
              </w:rPr>
              <w:t xml:space="preserve">(2) </w:t>
            </w:r>
            <w:r>
              <w:rPr>
                <w:rFonts w:hint="default" w:ascii="Times New Roman" w:hAnsi="Times New Roman" w:cs="Times New Roman"/>
                <w:sz w:val="20"/>
                <w:szCs w:val="20"/>
                <w:lang w:val="en-US" w:eastAsia="zh-CN"/>
              </w:rPr>
              <w:t>p</w:t>
            </w:r>
            <w:r>
              <w:rPr>
                <w:rFonts w:hint="default" w:ascii="Times New Roman" w:hAnsi="Times New Roman" w:cs="Times New Roman"/>
                <w:sz w:val="20"/>
                <w:szCs w:val="20"/>
              </w:rPr>
              <w:t>ositive blood test antigen or DNA test</w:t>
            </w:r>
          </w:p>
          <w:p>
            <w:pPr>
              <w:widowControl w:val="0"/>
              <w:numPr>
                <w:ilvl w:val="0"/>
                <w:numId w:val="0"/>
              </w:numPr>
              <w:jc w:val="both"/>
              <w:rPr>
                <w:rFonts w:hint="default" w:ascii="Times New Roman" w:hAnsi="Times New Roman" w:cs="Times New Roman"/>
                <w:sz w:val="20"/>
                <w:szCs w:val="20"/>
              </w:rPr>
            </w:pPr>
          </w:p>
          <w:p>
            <w:pPr>
              <w:widowControl w:val="0"/>
              <w:numPr>
                <w:ilvl w:val="0"/>
                <w:numId w:val="2"/>
              </w:numPr>
              <w:jc w:val="both"/>
              <w:rPr>
                <w:rFonts w:hint="default" w:ascii="Times New Roman" w:hAnsi="Times New Roman" w:cs="Times New Roman"/>
                <w:sz w:val="20"/>
                <w:szCs w:val="20"/>
              </w:rPr>
            </w:pPr>
            <w:r>
              <w:rPr>
                <w:rFonts w:hint="default" w:ascii="Times New Roman" w:hAnsi="Times New Roman" w:cs="Times New Roman"/>
                <w:sz w:val="20"/>
                <w:szCs w:val="20"/>
              </w:rPr>
              <w:t>Non-specific examination:</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rPr>
              <w:t>WBC decreased (&lt;5×109/L), or WBC increased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(≤3d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WBC&gt;25×109/L;&gt;3d WBC&gt;20×109/L). </w:t>
            </w:r>
          </w:p>
          <w:p>
            <w:pPr>
              <w:widowControl w:val="0"/>
              <w:numPr>
                <w:ilvl w:val="0"/>
                <w:numId w:val="0"/>
              </w:numPr>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 xml:space="preserve">White blood cell classification: rod-shaped nucleus cells/neutrophils (immature/totalneutrophils, I/T) ≥ 0.16. </w:t>
            </w:r>
          </w:p>
          <w:p>
            <w:pPr>
              <w:widowControl w:val="0"/>
              <w:numPr>
                <w:ilvl w:val="0"/>
                <w:numId w:val="0"/>
              </w:numPr>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(3)</w:t>
            </w:r>
            <w:r>
              <w:rPr>
                <w:rFonts w:hint="default" w:ascii="Times New Roman" w:hAnsi="Times New Roman" w:cs="Times New Roman"/>
                <w:sz w:val="20"/>
                <w:szCs w:val="20"/>
              </w:rPr>
              <w:t xml:space="preserve">C-reactive protein (CRP):≥8 μg/ml (peripheral blood method). </w:t>
            </w:r>
          </w:p>
          <w:p>
            <w:pPr>
              <w:widowControl w:val="0"/>
              <w:numPr>
                <w:ilvl w:val="0"/>
                <w:numId w:val="0"/>
              </w:numPr>
              <w:jc w:val="both"/>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4</w:t>
            </w:r>
            <w:r>
              <w:rPr>
                <w:rFonts w:hint="default" w:ascii="Times New Roman" w:hAnsi="Times New Roman" w:cs="Times New Roman"/>
                <w:sz w:val="20"/>
                <w:szCs w:val="20"/>
              </w:rPr>
              <w:t xml:space="preserve">) Platelets ≤ 100 × 109/L. </w:t>
            </w:r>
          </w:p>
          <w:p>
            <w:pPr>
              <w:widowControl w:val="0"/>
              <w:numPr>
                <w:ilvl w:val="0"/>
                <w:numId w:val="0"/>
              </w:numPr>
              <w:jc w:val="both"/>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5</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E</w:t>
            </w:r>
            <w:r>
              <w:rPr>
                <w:rFonts w:hint="default" w:ascii="Times New Roman" w:hAnsi="Times New Roman" w:cs="Times New Roman"/>
                <w:sz w:val="20"/>
                <w:szCs w:val="20"/>
              </w:rPr>
              <w:t xml:space="preserve">rythrocyte sedimentation rate </w:t>
            </w:r>
            <w:r>
              <w:rPr>
                <w:rFonts w:hint="default" w:ascii="Times New Roman" w:hAnsi="Times New Roman" w:cs="Times New Roman"/>
                <w:sz w:val="20"/>
                <w:szCs w:val="20"/>
                <w:lang w:val="en-US" w:eastAsia="zh-CN"/>
              </w:rPr>
              <w:t>(ESR)</w:t>
            </w:r>
            <w:r>
              <w:rPr>
                <w:rFonts w:hint="default" w:ascii="Times New Roman" w:hAnsi="Times New Roman" w:cs="Times New Roman"/>
                <w:sz w:val="20"/>
                <w:szCs w:val="20"/>
              </w:rPr>
              <w:t>≥15mm/h.</w:t>
            </w:r>
          </w:p>
        </w:tc>
        <w:tc>
          <w:tcPr>
            <w:tcW w:w="3985" w:type="dxa"/>
            <w:gridSpan w:val="2"/>
            <w:tcBorders>
              <w:top w:val="single" w:color="auto" w:sz="4" w:space="0"/>
              <w:left w:val="nil"/>
              <w:bottom w:val="single" w:color="auto" w:sz="4" w:space="0"/>
              <w:right w:val="nil"/>
            </w:tcBorders>
            <w:vAlign w:val="top"/>
          </w:tcPr>
          <w:p>
            <w:pPr>
              <w:widowControl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negative blood cultur</w:t>
            </w:r>
            <w:r>
              <w:rPr>
                <w:rFonts w:hint="default" w:ascii="Times New Roman" w:hAnsi="Times New Roman" w:cs="Times New Roman"/>
                <w:sz w:val="20"/>
                <w:szCs w:val="20"/>
                <w:lang w:val="en-US" w:eastAsia="zh-CN"/>
              </w:rPr>
              <w:t>:n=83</w:t>
            </w:r>
          </w:p>
        </w:tc>
      </w:tr>
    </w:tbl>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EOS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early onset sepsis, LOS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late-onset sepsis</w:t>
      </w:r>
      <w:r>
        <w:rPr>
          <w:rFonts w:hint="default" w:ascii="Times New Roman" w:hAnsi="Times New Roman" w:cs="Times New Roman"/>
          <w:sz w:val="20"/>
          <w:szCs w:val="20"/>
          <w:lang w:val="en-US" w:eastAsia="zh-CN"/>
        </w:rPr>
        <w:t xml:space="preserve">, CRP: C-Reactive Protein </w:t>
      </w:r>
    </w:p>
    <w:p>
      <w:pPr>
        <w:rPr>
          <w:rFonts w:hint="default" w:ascii="Times New Roman" w:hAnsi="Times New Roman" w:cs="Times New Roman"/>
          <w:sz w:val="20"/>
          <w:szCs w:val="20"/>
        </w:rPr>
      </w:pPr>
    </w:p>
    <w:p>
      <w:pPr>
        <w:rPr>
          <w:rFonts w:hint="default" w:ascii="Times New Roman" w:hAnsi="Times New Roman" w:cs="Times New Roman"/>
          <w:sz w:val="20"/>
          <w:szCs w:val="20"/>
        </w:rPr>
      </w:pPr>
    </w:p>
    <w:p>
      <w:pPr>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Table </w:t>
      </w:r>
      <w:r>
        <w:rPr>
          <w:rFonts w:hint="default" w:ascii="Times New Roman" w:hAnsi="Times New Roman" w:cs="Times New Roman"/>
          <w:b/>
          <w:bCs/>
          <w:sz w:val="20"/>
          <w:szCs w:val="20"/>
          <w:lang w:val="en-US" w:eastAsia="zh-CN"/>
        </w:rPr>
        <w:t>2</w:t>
      </w:r>
      <w:r>
        <w:rPr>
          <w:rFonts w:hint="default" w:ascii="Times New Roman" w:hAnsi="Times New Roman" w:cs="Times New Roman"/>
          <w:b/>
          <w:bCs/>
          <w:sz w:val="20"/>
          <w:szCs w:val="20"/>
        </w:rPr>
        <w:t xml:space="preserve"> continued</w:t>
      </w:r>
    </w:p>
    <w:tbl>
      <w:tblPr>
        <w:tblStyle w:val="5"/>
        <w:tblW w:w="21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1552"/>
        <w:gridCol w:w="1365"/>
        <w:gridCol w:w="2304"/>
        <w:gridCol w:w="1584"/>
        <w:gridCol w:w="1722"/>
        <w:gridCol w:w="1695"/>
        <w:gridCol w:w="1420"/>
        <w:gridCol w:w="4100"/>
        <w:gridCol w:w="3384"/>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07" w:hRule="atLeast"/>
        </w:trPr>
        <w:tc>
          <w:tcPr>
            <w:tcW w:w="1930"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Author, </w:t>
            </w:r>
          </w:p>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publication</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year</w:t>
            </w:r>
          </w:p>
        </w:tc>
        <w:tc>
          <w:tcPr>
            <w:tcW w:w="1552"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Country</w:t>
            </w:r>
            <w:r>
              <w:rPr>
                <w:rFonts w:hint="default" w:ascii="Times New Roman" w:hAnsi="Times New Roman" w:cs="Times New Roman"/>
                <w:b/>
                <w:bCs/>
                <w:sz w:val="20"/>
                <w:szCs w:val="20"/>
                <w:lang w:val="en-US" w:eastAsia="zh-CN"/>
              </w:rPr>
              <w:t>, Region</w:t>
            </w:r>
          </w:p>
        </w:tc>
        <w:tc>
          <w:tcPr>
            <w:tcW w:w="1365"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Study period</w:t>
            </w:r>
          </w:p>
        </w:tc>
        <w:tc>
          <w:tcPr>
            <w:tcW w:w="2304"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Study design</w:t>
            </w:r>
          </w:p>
        </w:tc>
        <w:tc>
          <w:tcPr>
            <w:tcW w:w="5001" w:type="dxa"/>
            <w:gridSpan w:val="3"/>
            <w:tcBorders>
              <w:left w:val="nil"/>
              <w:right w:val="nil"/>
            </w:tcBorders>
            <w:vAlign w:val="center"/>
          </w:tcPr>
          <w:p>
            <w:pPr>
              <w:widowControl w:val="0"/>
              <w:ind w:firstLine="1405" w:firstLineChars="700"/>
              <w:rPr>
                <w:rFonts w:hint="default" w:ascii="Times New Roman" w:hAnsi="Times New Roman" w:cs="Times New Roman"/>
                <w:b/>
                <w:bCs/>
                <w:sz w:val="20"/>
                <w:szCs w:val="20"/>
              </w:rPr>
            </w:pPr>
            <w:r>
              <w:rPr>
                <w:rFonts w:hint="default" w:ascii="Times New Roman" w:hAnsi="Times New Roman" w:cs="Times New Roman"/>
                <w:b/>
                <w:bCs/>
                <w:sz w:val="20"/>
                <w:szCs w:val="20"/>
              </w:rPr>
              <w:t>Study population</w:t>
            </w:r>
          </w:p>
        </w:tc>
        <w:tc>
          <w:tcPr>
            <w:tcW w:w="1420"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Sepsis onset</w:t>
            </w:r>
          </w:p>
        </w:tc>
        <w:tc>
          <w:tcPr>
            <w:tcW w:w="7484" w:type="dxa"/>
            <w:gridSpan w:val="2"/>
            <w:tcBorders>
              <w:left w:val="nil"/>
              <w:bottom w:val="single" w:color="auto" w:sz="4" w:space="0"/>
              <w:right w:val="nil"/>
            </w:tcBorders>
            <w:vAlign w:val="center"/>
          </w:tcPr>
          <w:p>
            <w:pPr>
              <w:widowControl w:val="0"/>
              <w:ind w:firstLine="1606" w:firstLineChars="800"/>
              <w:rPr>
                <w:rFonts w:hint="default" w:ascii="Times New Roman" w:hAnsi="Times New Roman" w:cs="Times New Roman"/>
                <w:b/>
                <w:bCs/>
                <w:sz w:val="20"/>
                <w:szCs w:val="20"/>
              </w:rPr>
            </w:pPr>
            <w:r>
              <w:rPr>
                <w:rFonts w:hint="default" w:ascii="Times New Roman" w:hAnsi="Times New Roman" w:cs="Times New Roman"/>
                <w:b/>
                <w:bCs/>
                <w:sz w:val="20"/>
                <w:szCs w:val="20"/>
              </w:rPr>
              <w:t>Characteristics and number of patients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930"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1552"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1365"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2304"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1584" w:type="dxa"/>
            <w:tcBorders>
              <w:left w:val="nil"/>
              <w:bottom w:val="single" w:color="auto" w:sz="4" w:space="0"/>
              <w:right w:val="nil"/>
            </w:tcBorders>
            <w:vAlign w:val="center"/>
          </w:tcPr>
          <w:p>
            <w:pPr>
              <w:widowControl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(day)</w:t>
            </w:r>
          </w:p>
          <w:p>
            <w:pPr>
              <w:widowControl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(sep/Non-sep)</w:t>
            </w:r>
          </w:p>
        </w:tc>
        <w:tc>
          <w:tcPr>
            <w:tcW w:w="1722" w:type="dxa"/>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Gestational</w:t>
            </w:r>
          </w:p>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(sep/Non-sep)</w:t>
            </w:r>
            <w:r>
              <w:rPr>
                <w:rFonts w:hint="default" w:ascii="Times New Roman" w:hAnsi="Times New Roman" w:cs="Times New Roman"/>
                <w:b/>
                <w:bCs/>
                <w:sz w:val="20"/>
                <w:szCs w:val="20"/>
              </w:rPr>
              <w:t>(weeks)</w:t>
            </w:r>
          </w:p>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(mean ± SD)</w:t>
            </w:r>
          </w:p>
        </w:tc>
        <w:tc>
          <w:tcPr>
            <w:tcW w:w="1695" w:type="dxa"/>
            <w:tcBorders>
              <w:left w:val="nil"/>
              <w:bottom w:val="single" w:color="auto" w:sz="4" w:space="0"/>
              <w:right w:val="nil"/>
            </w:tcBorders>
            <w:vAlign w:val="center"/>
          </w:tcPr>
          <w:p>
            <w:pPr>
              <w:widowControl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Weight</w:t>
            </w:r>
            <w:r>
              <w:rPr>
                <w:rFonts w:hint="default" w:ascii="Times New Roman" w:hAnsi="Times New Roman" w:cs="Times New Roman"/>
                <w:b/>
                <w:bCs/>
                <w:sz w:val="20"/>
                <w:szCs w:val="20"/>
                <w:lang w:val="en-US" w:eastAsia="zh-CN"/>
              </w:rPr>
              <w:t>(sep/</w:t>
            </w:r>
          </w:p>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lang w:val="en-US" w:eastAsia="zh-CN"/>
              </w:rPr>
              <w:t xml:space="preserve">Non-sep)  </w:t>
            </w:r>
            <w:r>
              <w:rPr>
                <w:rFonts w:hint="default" w:ascii="Times New Roman" w:hAnsi="Times New Roman" w:cs="Times New Roman"/>
                <w:b/>
                <w:bCs/>
                <w:sz w:val="20"/>
                <w:szCs w:val="20"/>
              </w:rPr>
              <w:t>(mean ± SD, g)</w:t>
            </w:r>
          </w:p>
        </w:tc>
        <w:tc>
          <w:tcPr>
            <w:tcW w:w="1420"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4100" w:type="dxa"/>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Septic group</w:t>
            </w:r>
          </w:p>
        </w:tc>
        <w:tc>
          <w:tcPr>
            <w:tcW w:w="3385" w:type="dxa"/>
            <w:gridSpan w:val="2"/>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Non-septic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5" w:hRule="atLeast"/>
        </w:trPr>
        <w:tc>
          <w:tcPr>
            <w:tcW w:w="1930" w:type="dxa"/>
            <w:tcBorders>
              <w:top w:val="single" w:color="auto" w:sz="4" w:space="0"/>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Gu et al,2015</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b w:val="0"/>
                <w:bCs w:val="0"/>
                <w:sz w:val="20"/>
                <w:szCs w:val="20"/>
                <w:lang w:val="en-US" w:eastAsia="zh-CN"/>
              </w:rPr>
              <w:t>(excluded)</w:t>
            </w:r>
          </w:p>
        </w:tc>
        <w:tc>
          <w:tcPr>
            <w:tcW w:w="1552" w:type="dxa"/>
            <w:tcBorders>
              <w:top w:val="single" w:color="auto" w:sz="4" w:space="0"/>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China</w:t>
            </w:r>
          </w:p>
        </w:tc>
        <w:tc>
          <w:tcPr>
            <w:tcW w:w="1365" w:type="dxa"/>
            <w:tcBorders>
              <w:top w:val="single" w:color="auto" w:sz="4" w:space="0"/>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i w:val="0"/>
                <w:color w:val="000000"/>
                <w:kern w:val="0"/>
                <w:sz w:val="20"/>
                <w:szCs w:val="20"/>
                <w:u w:val="none"/>
                <w:lang w:val="en-US" w:eastAsia="zh-CN" w:bidi="ar"/>
              </w:rPr>
              <w:t>Janu,2013-Feb,2014</w:t>
            </w:r>
          </w:p>
        </w:tc>
        <w:tc>
          <w:tcPr>
            <w:tcW w:w="2304" w:type="dxa"/>
            <w:tcBorders>
              <w:top w:val="single" w:color="auto" w:sz="4" w:space="0"/>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 xml:space="preserve">Retrospective </w:t>
            </w:r>
            <w:r>
              <w:rPr>
                <w:rFonts w:hint="default" w:ascii="Times New Roman" w:hAnsi="Times New Roman" w:cs="Times New Roman"/>
                <w:sz w:val="20"/>
                <w:szCs w:val="20"/>
                <w:lang w:val="en-US" w:eastAsia="zh-CN"/>
              </w:rPr>
              <w:t xml:space="preserve">case control </w:t>
            </w:r>
            <w:r>
              <w:rPr>
                <w:rFonts w:hint="default" w:ascii="Times New Roman" w:hAnsi="Times New Roman" w:cs="Times New Roman"/>
                <w:sz w:val="20"/>
                <w:szCs w:val="20"/>
              </w:rPr>
              <w:t>study</w:t>
            </w:r>
          </w:p>
        </w:tc>
        <w:tc>
          <w:tcPr>
            <w:tcW w:w="1584" w:type="dxa"/>
            <w:tcBorders>
              <w:top w:val="single" w:color="auto" w:sz="4" w:space="0"/>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9.9</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5.9/</w:t>
            </w:r>
          </w:p>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9.4</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6.5</w:t>
            </w:r>
          </w:p>
        </w:tc>
        <w:tc>
          <w:tcPr>
            <w:tcW w:w="1722" w:type="dxa"/>
            <w:tcBorders>
              <w:top w:val="single" w:color="auto" w:sz="4" w:space="0"/>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1695" w:type="dxa"/>
            <w:tcBorders>
              <w:top w:val="single" w:color="auto" w:sz="4" w:space="0"/>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NA</w:t>
            </w:r>
          </w:p>
        </w:tc>
        <w:tc>
          <w:tcPr>
            <w:tcW w:w="1420" w:type="dxa"/>
            <w:tcBorders>
              <w:top w:val="single" w:color="auto" w:sz="4" w:space="0"/>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single" w:color="auto" w:sz="4" w:space="0"/>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N=54</w:t>
            </w:r>
          </w:p>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1. Confirm diagnosis*</w:t>
            </w:r>
          </w:p>
          <w:p>
            <w:pPr>
              <w:widowControl w:val="0"/>
              <w:numPr>
                <w:ilvl w:val="0"/>
                <w:numId w:val="4"/>
              </w:numPr>
              <w:rPr>
                <w:rFonts w:hint="default" w:ascii="Times New Roman" w:hAnsi="Times New Roman" w:cs="Times New Roman"/>
                <w:sz w:val="20"/>
                <w:szCs w:val="20"/>
              </w:rPr>
            </w:pPr>
            <w:r>
              <w:rPr>
                <w:rFonts w:hint="default" w:ascii="Times New Roman" w:hAnsi="Times New Roman" w:cs="Times New Roman"/>
                <w:sz w:val="20"/>
                <w:szCs w:val="20"/>
              </w:rPr>
              <w:t>Clinical diagnosis§</w:t>
            </w:r>
          </w:p>
        </w:tc>
        <w:tc>
          <w:tcPr>
            <w:tcW w:w="3385" w:type="dxa"/>
            <w:gridSpan w:val="2"/>
            <w:tcBorders>
              <w:top w:val="single" w:color="auto" w:sz="4" w:space="0"/>
              <w:left w:val="nil"/>
              <w:bottom w:val="nil"/>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rPr>
              <w:t>Healthy newborns and preterm infants without comorbidities</w:t>
            </w:r>
            <w:r>
              <w:rPr>
                <w:rFonts w:hint="default" w:ascii="Times New Roman" w:hAnsi="Times New Roman" w:cs="Times New Roman"/>
                <w:sz w:val="20"/>
                <w:szCs w:val="20"/>
                <w:lang w:val="en-US" w:eastAsia="zh-CN"/>
              </w:rPr>
              <w:t>:n=35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6" w:hRule="atLeast"/>
        </w:trPr>
        <w:tc>
          <w:tcPr>
            <w:tcW w:w="193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Li et al,2012 </w:t>
            </w:r>
            <w:r>
              <w:rPr>
                <w:rFonts w:hint="default" w:ascii="Times New Roman" w:hAnsi="Times New Roman" w:cs="Times New Roman"/>
                <w:b w:val="0"/>
                <w:bCs w:val="0"/>
                <w:i w:val="0"/>
                <w:color w:val="000000"/>
                <w:kern w:val="0"/>
                <w:sz w:val="20"/>
                <w:szCs w:val="20"/>
                <w:u w:val="none"/>
                <w:lang w:val="en-US" w:eastAsia="zh-CN" w:bidi="ar"/>
              </w:rPr>
              <w:t>[25]</w:t>
            </w:r>
          </w:p>
          <w:p>
            <w:pPr>
              <w:keepNext w:val="0"/>
              <w:keepLines w:val="0"/>
              <w:widowControl/>
              <w:suppressLineNumbers w:val="0"/>
              <w:jc w:val="left"/>
              <w:textAlignment w:val="center"/>
              <w:rPr>
                <w:rFonts w:hint="default" w:ascii="Times New Roman" w:hAnsi="Times New Roman" w:cs="Times New Roman"/>
                <w:i w:val="0"/>
                <w:color w:val="000000"/>
                <w:kern w:val="0"/>
                <w:sz w:val="20"/>
                <w:szCs w:val="20"/>
                <w:u w:val="none"/>
                <w:lang w:val="en-US" w:eastAsia="zh-CN" w:bidi="ar"/>
              </w:rPr>
            </w:pPr>
          </w:p>
        </w:tc>
        <w:tc>
          <w:tcPr>
            <w:tcW w:w="155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China</w:t>
            </w:r>
          </w:p>
        </w:tc>
        <w:tc>
          <w:tcPr>
            <w:tcW w:w="1365" w:type="dxa"/>
            <w:tcBorders>
              <w:top w:val="nil"/>
              <w:left w:val="nil"/>
              <w:bottom w:val="nil"/>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NA</w:t>
            </w:r>
          </w:p>
        </w:tc>
        <w:tc>
          <w:tcPr>
            <w:tcW w:w="230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sz w:val="20"/>
                <w:szCs w:val="20"/>
              </w:rPr>
              <w:t>control study</w:t>
            </w:r>
          </w:p>
        </w:tc>
        <w:tc>
          <w:tcPr>
            <w:tcW w:w="158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0-21/3-23</w:t>
            </w:r>
          </w:p>
        </w:tc>
        <w:tc>
          <w:tcPr>
            <w:tcW w:w="172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rPr>
              <w:t>34</w:t>
            </w:r>
            <w:r>
              <w:rPr>
                <w:rFonts w:hint="default" w:ascii="Times New Roman" w:hAnsi="Times New Roman" w:cs="Times New Roman"/>
                <w:sz w:val="20"/>
                <w:szCs w:val="20"/>
                <w:lang w:val="en-US" w:eastAsia="zh-CN"/>
              </w:rPr>
              <w:t>-4</w:t>
            </w:r>
            <w:r>
              <w:rPr>
                <w:rFonts w:hint="default" w:ascii="Times New Roman" w:hAnsi="Times New Roman" w:cs="Times New Roman"/>
                <w:sz w:val="20"/>
                <w:szCs w:val="20"/>
              </w:rPr>
              <w:t>2</w:t>
            </w:r>
            <w:r>
              <w:rPr>
                <w:rFonts w:hint="default" w:ascii="Times New Roman" w:hAnsi="Times New Roman" w:cs="Times New Roman"/>
                <w:sz w:val="20"/>
                <w:szCs w:val="20"/>
                <w:lang w:val="en-US" w:eastAsia="zh-CN"/>
              </w:rPr>
              <w:t>/</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37-42 </w:t>
            </w:r>
          </w:p>
        </w:tc>
        <w:tc>
          <w:tcPr>
            <w:tcW w:w="1695"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2 200</w:t>
            </w:r>
            <w:r>
              <w:rPr>
                <w:rFonts w:hint="default"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4000</w:t>
            </w:r>
            <w:r>
              <w:rPr>
                <w:rFonts w:hint="default" w:ascii="Times New Roman" w:hAnsi="Times New Roman" w:cs="Times New Roman"/>
                <w:sz w:val="20"/>
                <w:szCs w:val="20"/>
                <w:lang w:val="en-US" w:eastAsia="zh-CN"/>
              </w:rPr>
              <w:t>/</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eastAsia="宋体" w:cs="Times New Roman"/>
                <w:sz w:val="20"/>
                <w:szCs w:val="20"/>
                <w:lang w:val="en-US" w:eastAsia="zh-CN"/>
              </w:rPr>
              <w:t>2 500</w:t>
            </w:r>
            <w:r>
              <w:rPr>
                <w:rFonts w:hint="default"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3800</w:t>
            </w:r>
          </w:p>
        </w:tc>
        <w:tc>
          <w:tcPr>
            <w:tcW w:w="142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N=58</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1. Confirm diagnosis*: </w:t>
            </w:r>
            <w:r>
              <w:rPr>
                <w:rFonts w:hint="default" w:ascii="Times New Roman" w:hAnsi="Times New Roman" w:cs="Times New Roman"/>
                <w:sz w:val="20"/>
                <w:szCs w:val="20"/>
                <w:lang w:val="en-US" w:eastAsia="zh-CN"/>
              </w:rPr>
              <w:t>n=21</w:t>
            </w:r>
          </w:p>
          <w:p>
            <w:pPr>
              <w:widowControl w:val="0"/>
              <w:numPr>
                <w:ilvl w:val="0"/>
                <w:numId w:val="0"/>
              </w:numPr>
              <w:ind w:leftChars="0"/>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2. </w:t>
            </w:r>
            <w:r>
              <w:rPr>
                <w:rFonts w:hint="default" w:ascii="Times New Roman" w:hAnsi="Times New Roman" w:cs="Times New Roman"/>
                <w:sz w:val="20"/>
                <w:szCs w:val="20"/>
              </w:rPr>
              <w:t>Clinical diagnosis§</w:t>
            </w:r>
            <w:r>
              <w:rPr>
                <w:rFonts w:hint="default" w:ascii="Times New Roman" w:hAnsi="Times New Roman" w:cs="Times New Roman"/>
                <w:sz w:val="20"/>
                <w:szCs w:val="20"/>
                <w:lang w:val="en-US" w:eastAsia="zh-CN"/>
              </w:rPr>
              <w:t>: n=37</w:t>
            </w:r>
          </w:p>
        </w:tc>
        <w:tc>
          <w:tcPr>
            <w:tcW w:w="3385" w:type="dxa"/>
            <w:gridSpan w:val="2"/>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Non-septic group</w:t>
            </w:r>
            <w:r>
              <w:rPr>
                <w:rFonts w:hint="default" w:ascii="Times New Roman" w:hAnsi="Times New Roman" w:cs="Times New Roman"/>
                <w:sz w:val="20"/>
                <w:szCs w:val="20"/>
                <w:lang w:val="en-US" w:eastAsia="zh-CN"/>
              </w:rPr>
              <w:t>:n=20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193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b/>
                <w:bCs/>
                <w:sz w:val="20"/>
                <w:szCs w:val="20"/>
                <w:lang w:val="en-US" w:eastAsia="zh-CN"/>
              </w:rPr>
            </w:pPr>
            <w:r>
              <w:rPr>
                <w:rFonts w:hint="default" w:ascii="Times New Roman" w:hAnsi="Times New Roman" w:cs="Times New Roman"/>
                <w:b w:val="0"/>
                <w:bCs w:val="0"/>
                <w:sz w:val="20"/>
                <w:szCs w:val="20"/>
                <w:lang w:val="en-US" w:eastAsia="zh-CN"/>
              </w:rPr>
              <w:t xml:space="preserve">Chen et al,2013 </w:t>
            </w:r>
            <w:r>
              <w:rPr>
                <w:rFonts w:hint="default" w:ascii="Times New Roman" w:hAnsi="Times New Roman" w:cs="Times New Roman"/>
                <w:b w:val="0"/>
                <w:bCs w:val="0"/>
                <w:i w:val="0"/>
                <w:color w:val="000000"/>
                <w:kern w:val="0"/>
                <w:sz w:val="20"/>
                <w:szCs w:val="20"/>
                <w:u w:val="none"/>
                <w:lang w:val="en-US" w:eastAsia="zh-CN" w:bidi="ar"/>
              </w:rPr>
              <w:t>[26]</w:t>
            </w:r>
          </w:p>
          <w:p>
            <w:pPr>
              <w:keepNext w:val="0"/>
              <w:keepLines w:val="0"/>
              <w:widowControl/>
              <w:suppressLineNumbers w:val="0"/>
              <w:jc w:val="left"/>
              <w:textAlignment w:val="center"/>
              <w:rPr>
                <w:rFonts w:hint="default" w:ascii="Times New Roman" w:hAnsi="Times New Roman" w:cs="Times New Roman"/>
                <w:sz w:val="20"/>
                <w:szCs w:val="20"/>
              </w:rPr>
            </w:pPr>
          </w:p>
        </w:tc>
        <w:tc>
          <w:tcPr>
            <w:tcW w:w="155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China</w:t>
            </w:r>
          </w:p>
        </w:tc>
        <w:tc>
          <w:tcPr>
            <w:tcW w:w="1365" w:type="dxa"/>
            <w:tcBorders>
              <w:top w:val="nil"/>
              <w:left w:val="nil"/>
              <w:bottom w:val="nil"/>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Janu-Dec 2012</w:t>
            </w:r>
          </w:p>
        </w:tc>
        <w:tc>
          <w:tcPr>
            <w:tcW w:w="230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control study</w:t>
            </w:r>
          </w:p>
        </w:tc>
        <w:tc>
          <w:tcPr>
            <w:tcW w:w="158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10/14.7</w:t>
            </w:r>
          </w:p>
        </w:tc>
        <w:tc>
          <w:tcPr>
            <w:tcW w:w="172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NA</w:t>
            </w:r>
          </w:p>
        </w:tc>
        <w:tc>
          <w:tcPr>
            <w:tcW w:w="1695"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142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N=58</w:t>
            </w:r>
          </w:p>
          <w:p>
            <w:pPr>
              <w:widowControl w:val="0"/>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sz w:val="20"/>
                <w:szCs w:val="20"/>
              </w:rPr>
              <w:t>1. Confirm diagnosis*</w:t>
            </w:r>
          </w:p>
          <w:p>
            <w:pPr>
              <w:widowControl w:val="0"/>
              <w:numPr>
                <w:ilvl w:val="0"/>
                <w:numId w:val="0"/>
              </w:numPr>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2. </w:t>
            </w:r>
            <w:r>
              <w:rPr>
                <w:rFonts w:hint="default" w:ascii="Times New Roman" w:hAnsi="Times New Roman" w:cs="Times New Roman"/>
                <w:sz w:val="20"/>
                <w:szCs w:val="20"/>
              </w:rPr>
              <w:t>Clinical diagnosis§</w:t>
            </w:r>
          </w:p>
        </w:tc>
        <w:tc>
          <w:tcPr>
            <w:tcW w:w="3385" w:type="dxa"/>
            <w:gridSpan w:val="2"/>
            <w:tcBorders>
              <w:top w:val="nil"/>
              <w:left w:val="nil"/>
              <w:bottom w:val="nil"/>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rPr>
              <w:t>Non-septic group</w:t>
            </w:r>
            <w:r>
              <w:rPr>
                <w:rFonts w:hint="default" w:ascii="Times New Roman" w:hAnsi="Times New Roman" w:cs="Times New Roman"/>
                <w:sz w:val="20"/>
                <w:szCs w:val="20"/>
                <w:lang w:val="en-US" w:eastAsia="zh-CN"/>
              </w:rPr>
              <w:t>:n=39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1" w:hRule="atLeast"/>
        </w:trPr>
        <w:tc>
          <w:tcPr>
            <w:tcW w:w="193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b w:val="0"/>
                <w:bCs w:val="0"/>
                <w:sz w:val="20"/>
                <w:szCs w:val="20"/>
                <w:lang w:val="en-US" w:eastAsia="zh-CN"/>
              </w:rPr>
              <w:t xml:space="preserve">LI et al,2014 </w:t>
            </w:r>
            <w:r>
              <w:rPr>
                <w:rFonts w:hint="default" w:ascii="Times New Roman" w:hAnsi="Times New Roman" w:cs="Times New Roman"/>
                <w:b w:val="0"/>
                <w:bCs w:val="0"/>
                <w:i w:val="0"/>
                <w:color w:val="000000"/>
                <w:kern w:val="0"/>
                <w:sz w:val="20"/>
                <w:szCs w:val="20"/>
                <w:u w:val="none"/>
                <w:lang w:val="en-US" w:eastAsia="zh-CN" w:bidi="ar"/>
              </w:rPr>
              <w:t>[27]</w:t>
            </w:r>
          </w:p>
        </w:tc>
        <w:tc>
          <w:tcPr>
            <w:tcW w:w="155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China</w:t>
            </w:r>
          </w:p>
        </w:tc>
        <w:tc>
          <w:tcPr>
            <w:tcW w:w="1365" w:type="dxa"/>
            <w:tcBorders>
              <w:top w:val="nil"/>
              <w:left w:val="nil"/>
              <w:bottom w:val="nil"/>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Janu-June,2013</w:t>
            </w:r>
          </w:p>
        </w:tc>
        <w:tc>
          <w:tcPr>
            <w:tcW w:w="230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control study</w:t>
            </w:r>
          </w:p>
        </w:tc>
        <w:tc>
          <w:tcPr>
            <w:tcW w:w="158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11.2</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2.9/</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11.3</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2.7</w:t>
            </w:r>
          </w:p>
        </w:tc>
        <w:tc>
          <w:tcPr>
            <w:tcW w:w="172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39.0±1.6/38.9±1.7</w:t>
            </w:r>
          </w:p>
        </w:tc>
        <w:tc>
          <w:tcPr>
            <w:tcW w:w="1695"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3100.6</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257.1/</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3101.5</w:t>
            </w:r>
            <w:r>
              <w:rPr>
                <w:rFonts w:hint="default" w:ascii="Times New Roman" w:hAnsi="Times New Roman" w:cs="Times New Roman"/>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256.4</w:t>
            </w:r>
          </w:p>
        </w:tc>
        <w:tc>
          <w:tcPr>
            <w:tcW w:w="1420" w:type="dxa"/>
            <w:tcBorders>
              <w:top w:val="nil"/>
              <w:left w:val="nil"/>
              <w:bottom w:val="nil"/>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EOS:22</w:t>
            </w:r>
          </w:p>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LOS:28</w:t>
            </w:r>
          </w:p>
        </w:tc>
        <w:tc>
          <w:tcPr>
            <w:tcW w:w="410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N=50</w:t>
            </w:r>
          </w:p>
          <w:p>
            <w:pPr>
              <w:widowControl w:val="0"/>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sz w:val="20"/>
                <w:szCs w:val="20"/>
              </w:rPr>
              <w:t>1. Confirm diagnosis*</w:t>
            </w:r>
          </w:p>
          <w:p>
            <w:pPr>
              <w:widowControl w:val="0"/>
              <w:numPr>
                <w:ilvl w:val="0"/>
                <w:numId w:val="0"/>
              </w:numPr>
              <w:ind w:left="0" w:leftChars="0" w:firstLine="0" w:firstLineChars="0"/>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2. </w:t>
            </w:r>
            <w:r>
              <w:rPr>
                <w:rFonts w:hint="default" w:ascii="Times New Roman" w:hAnsi="Times New Roman" w:cs="Times New Roman"/>
                <w:sz w:val="20"/>
                <w:szCs w:val="20"/>
              </w:rPr>
              <w:t>Clinical diagnosis§</w:t>
            </w:r>
          </w:p>
        </w:tc>
        <w:tc>
          <w:tcPr>
            <w:tcW w:w="3385" w:type="dxa"/>
            <w:gridSpan w:val="2"/>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Non-septic group</w:t>
            </w:r>
            <w:r>
              <w:rPr>
                <w:rFonts w:hint="default" w:ascii="Times New Roman" w:hAnsi="Times New Roman" w:cs="Times New Roman"/>
                <w:sz w:val="20"/>
                <w:szCs w:val="20"/>
                <w:lang w:val="en-US" w:eastAsia="zh-CN"/>
              </w:rPr>
              <w:t>:n=50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1" w:hRule="atLeast"/>
        </w:trPr>
        <w:tc>
          <w:tcPr>
            <w:tcW w:w="193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 xml:space="preserve">You et al,2015 </w:t>
            </w:r>
            <w:r>
              <w:rPr>
                <w:rFonts w:hint="default" w:ascii="Times New Roman" w:hAnsi="Times New Roman" w:cs="Times New Roman"/>
                <w:b w:val="0"/>
                <w:bCs w:val="0"/>
                <w:i w:val="0"/>
                <w:color w:val="000000"/>
                <w:kern w:val="0"/>
                <w:sz w:val="20"/>
                <w:szCs w:val="20"/>
                <w:u w:val="none"/>
                <w:lang w:val="en-US" w:eastAsia="zh-CN" w:bidi="ar"/>
              </w:rPr>
              <w:t>[28]</w:t>
            </w:r>
          </w:p>
        </w:tc>
        <w:tc>
          <w:tcPr>
            <w:tcW w:w="155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China</w:t>
            </w:r>
          </w:p>
        </w:tc>
        <w:tc>
          <w:tcPr>
            <w:tcW w:w="1365" w:type="dxa"/>
            <w:tcBorders>
              <w:top w:val="nil"/>
              <w:left w:val="nil"/>
              <w:bottom w:val="nil"/>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May,2012-May,2014</w:t>
            </w:r>
          </w:p>
        </w:tc>
        <w:tc>
          <w:tcPr>
            <w:tcW w:w="230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control study</w:t>
            </w:r>
          </w:p>
        </w:tc>
        <w:tc>
          <w:tcPr>
            <w:tcW w:w="158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4-12/4-9</w:t>
            </w:r>
          </w:p>
        </w:tc>
        <w:tc>
          <w:tcPr>
            <w:tcW w:w="172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Full-term:</w:t>
            </w:r>
          </w:p>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n=46/36</w:t>
            </w: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pre-term: n=10/14</w:t>
            </w:r>
          </w:p>
        </w:tc>
        <w:tc>
          <w:tcPr>
            <w:tcW w:w="1695"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2230-4320/</w:t>
            </w: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2020-4150</w:t>
            </w:r>
          </w:p>
        </w:tc>
        <w:tc>
          <w:tcPr>
            <w:tcW w:w="1420" w:type="dxa"/>
            <w:tcBorders>
              <w:top w:val="nil"/>
              <w:left w:val="nil"/>
              <w:bottom w:val="nil"/>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EOS:23</w:t>
            </w:r>
          </w:p>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LOS:33</w:t>
            </w:r>
          </w:p>
        </w:tc>
        <w:tc>
          <w:tcPr>
            <w:tcW w:w="410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N=56</w:t>
            </w:r>
          </w:p>
          <w:p>
            <w:pPr>
              <w:widowControl w:val="0"/>
              <w:numPr>
                <w:ilvl w:val="0"/>
                <w:numId w:val="0"/>
              </w:numPr>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rPr>
              <w:t>1. Confirm diagnosis*</w:t>
            </w:r>
          </w:p>
          <w:p>
            <w:pPr>
              <w:widowControl w:val="0"/>
              <w:numPr>
                <w:ilvl w:val="0"/>
                <w:numId w:val="0"/>
              </w:numPr>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2. </w:t>
            </w:r>
            <w:r>
              <w:rPr>
                <w:rFonts w:hint="default" w:ascii="Times New Roman" w:hAnsi="Times New Roman" w:cs="Times New Roman"/>
                <w:sz w:val="20"/>
                <w:szCs w:val="20"/>
              </w:rPr>
              <w:t>Clinical diagnosis§</w:t>
            </w:r>
          </w:p>
        </w:tc>
        <w:tc>
          <w:tcPr>
            <w:tcW w:w="3385" w:type="dxa"/>
            <w:gridSpan w:val="2"/>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Non-septic group</w:t>
            </w:r>
            <w:r>
              <w:rPr>
                <w:rFonts w:hint="default" w:ascii="Times New Roman" w:hAnsi="Times New Roman" w:cs="Times New Roman"/>
                <w:sz w:val="20"/>
                <w:szCs w:val="20"/>
                <w:lang w:val="en-US" w:eastAsia="zh-CN"/>
              </w:rPr>
              <w:t>:n=50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193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b w:val="0"/>
                <w:bCs w:val="0"/>
                <w:i w:val="0"/>
                <w:color w:val="000000"/>
                <w:kern w:val="0"/>
                <w:sz w:val="20"/>
                <w:szCs w:val="20"/>
                <w:u w:val="none"/>
                <w:lang w:val="en-US" w:eastAsia="zh-CN" w:bidi="ar"/>
              </w:rPr>
            </w:pPr>
            <w:r>
              <w:rPr>
                <w:rFonts w:hint="default" w:ascii="Times New Roman" w:hAnsi="Times New Roman" w:cs="Times New Roman"/>
                <w:sz w:val="20"/>
                <w:szCs w:val="20"/>
                <w:lang w:val="en-US" w:eastAsia="zh-CN"/>
              </w:rPr>
              <w:t xml:space="preserve">Qin et al,2012 </w:t>
            </w:r>
            <w:r>
              <w:rPr>
                <w:rFonts w:hint="default" w:ascii="Times New Roman" w:hAnsi="Times New Roman" w:cs="Times New Roman"/>
                <w:b w:val="0"/>
                <w:bCs w:val="0"/>
                <w:i w:val="0"/>
                <w:color w:val="000000"/>
                <w:kern w:val="0"/>
                <w:sz w:val="20"/>
                <w:szCs w:val="20"/>
                <w:u w:val="none"/>
                <w:lang w:val="en-US" w:eastAsia="zh-CN" w:bidi="ar"/>
              </w:rPr>
              <w:t>[29]</w:t>
            </w:r>
          </w:p>
        </w:tc>
        <w:tc>
          <w:tcPr>
            <w:tcW w:w="155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China</w:t>
            </w:r>
          </w:p>
        </w:tc>
        <w:tc>
          <w:tcPr>
            <w:tcW w:w="1365" w:type="dxa"/>
            <w:tcBorders>
              <w:top w:val="nil"/>
              <w:left w:val="nil"/>
              <w:bottom w:val="nil"/>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2010-2011</w:t>
            </w:r>
          </w:p>
        </w:tc>
        <w:tc>
          <w:tcPr>
            <w:tcW w:w="230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sz w:val="20"/>
                <w:szCs w:val="20"/>
              </w:rPr>
              <w:t>control study</w:t>
            </w:r>
          </w:p>
        </w:tc>
        <w:tc>
          <w:tcPr>
            <w:tcW w:w="158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cs="Times New Roman"/>
                <w:i w:val="0"/>
                <w:color w:val="000000"/>
                <w:kern w:val="0"/>
                <w:sz w:val="20"/>
                <w:szCs w:val="20"/>
                <w:u w:val="none"/>
                <w:lang w:val="en-US" w:eastAsia="zh-CN" w:bidi="ar"/>
              </w:rPr>
              <w:t>NA</w:t>
            </w:r>
          </w:p>
        </w:tc>
        <w:tc>
          <w:tcPr>
            <w:tcW w:w="172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cs="Times New Roman"/>
                <w:i w:val="0"/>
                <w:color w:val="000000"/>
                <w:kern w:val="0"/>
                <w:sz w:val="20"/>
                <w:szCs w:val="20"/>
                <w:u w:val="none"/>
                <w:lang w:val="en-US" w:eastAsia="zh-CN" w:bidi="ar"/>
              </w:rPr>
              <w:t>NA</w:t>
            </w:r>
          </w:p>
        </w:tc>
        <w:tc>
          <w:tcPr>
            <w:tcW w:w="1695"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i w:val="0"/>
                <w:color w:val="000000"/>
                <w:kern w:val="0"/>
                <w:sz w:val="20"/>
                <w:szCs w:val="20"/>
                <w:u w:val="none"/>
                <w:lang w:val="en-US" w:eastAsia="zh-CN" w:bidi="ar"/>
              </w:rPr>
              <w:t>NA</w:t>
            </w:r>
          </w:p>
        </w:tc>
        <w:tc>
          <w:tcPr>
            <w:tcW w:w="142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i w:val="0"/>
                <w:color w:val="000000"/>
                <w:kern w:val="0"/>
                <w:sz w:val="20"/>
                <w:szCs w:val="20"/>
                <w:u w:val="none"/>
                <w:lang w:val="en-US" w:eastAsia="zh-CN" w:bidi="ar"/>
              </w:rPr>
              <w:t>NA</w:t>
            </w:r>
          </w:p>
        </w:tc>
        <w:tc>
          <w:tcPr>
            <w:tcW w:w="410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N=43</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1. Confirm diagnosis*</w:t>
            </w:r>
            <w:r>
              <w:rPr>
                <w:rFonts w:hint="default" w:ascii="Times New Roman" w:hAnsi="Times New Roman" w:cs="Times New Roman"/>
                <w:sz w:val="20"/>
                <w:szCs w:val="20"/>
                <w:lang w:val="en-US" w:eastAsia="zh-CN"/>
              </w:rPr>
              <w:t>:n=25</w:t>
            </w:r>
          </w:p>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2. </w:t>
            </w:r>
            <w:r>
              <w:rPr>
                <w:rFonts w:hint="default" w:ascii="Times New Roman" w:hAnsi="Times New Roman" w:cs="Times New Roman"/>
                <w:sz w:val="20"/>
                <w:szCs w:val="20"/>
              </w:rPr>
              <w:t>Clinical dia</w:t>
            </w:r>
            <w:r>
              <w:rPr>
                <w:rFonts w:hint="default" w:ascii="Times New Roman" w:hAnsi="Times New Roman" w:cs="Times New Roman"/>
                <w:sz w:val="20"/>
                <w:szCs w:val="20"/>
                <w:lang w:val="en-US" w:eastAsia="zh-CN"/>
              </w:rPr>
              <w:t>g</w:t>
            </w:r>
            <w:r>
              <w:rPr>
                <w:rFonts w:hint="default" w:ascii="Times New Roman" w:hAnsi="Times New Roman" w:cs="Times New Roman"/>
                <w:sz w:val="20"/>
                <w:szCs w:val="20"/>
              </w:rPr>
              <w:t>nosis§:</w:t>
            </w:r>
            <w:r>
              <w:rPr>
                <w:rFonts w:hint="default" w:ascii="Times New Roman" w:hAnsi="Times New Roman" w:cs="Times New Roman"/>
                <w:sz w:val="20"/>
                <w:szCs w:val="20"/>
                <w:lang w:val="en-US" w:eastAsia="zh-CN"/>
              </w:rPr>
              <w:t>n=18</w:t>
            </w:r>
          </w:p>
        </w:tc>
        <w:tc>
          <w:tcPr>
            <w:tcW w:w="3385" w:type="dxa"/>
            <w:gridSpan w:val="2"/>
            <w:tcBorders>
              <w:top w:val="nil"/>
              <w:left w:val="nil"/>
              <w:bottom w:val="nil"/>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N=31</w:t>
            </w:r>
          </w:p>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Non-sepsis group:</w:t>
            </w:r>
          </w:p>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19 cases of local infection group 12 cases of viral infection.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193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Liao et al,2013</w:t>
            </w:r>
          </w:p>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（excluded）</w:t>
            </w:r>
          </w:p>
        </w:tc>
        <w:tc>
          <w:tcPr>
            <w:tcW w:w="1552" w:type="dxa"/>
            <w:tcBorders>
              <w:top w:val="nil"/>
              <w:left w:val="nil"/>
              <w:bottom w:val="nil"/>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China</w:t>
            </w:r>
          </w:p>
        </w:tc>
        <w:tc>
          <w:tcPr>
            <w:tcW w:w="1365" w:type="dxa"/>
            <w:tcBorders>
              <w:top w:val="nil"/>
              <w:left w:val="nil"/>
              <w:bottom w:val="nil"/>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Janu,2010-Apr,2012</w:t>
            </w:r>
          </w:p>
        </w:tc>
        <w:tc>
          <w:tcPr>
            <w:tcW w:w="230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control study</w:t>
            </w:r>
          </w:p>
        </w:tc>
        <w:tc>
          <w:tcPr>
            <w:tcW w:w="1584"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5. 9±3</w:t>
            </w:r>
            <w:r>
              <w:rPr>
                <w:rFonts w:hint="default"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7</w:t>
            </w:r>
          </w:p>
          <w:p>
            <w:pPr>
              <w:widowControl w:val="0"/>
              <w:numPr>
                <w:ilvl w:val="0"/>
                <w:numId w:val="0"/>
              </w:num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6.2</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eastAsia="zh-CN"/>
              </w:rPr>
              <w:t>3.5</w:t>
            </w:r>
          </w:p>
          <w:p>
            <w:pPr>
              <w:widowControl w:val="0"/>
              <w:numPr>
                <w:ilvl w:val="0"/>
                <w:numId w:val="0"/>
              </w:numPr>
              <w:ind w:left="0" w:leftChars="0" w:firstLine="0" w:firstLineChars="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eastAsia="zh-CN"/>
              </w:rPr>
              <w:t>.1</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eastAsia="zh-CN"/>
              </w:rPr>
              <w:t>3.6</w:t>
            </w:r>
          </w:p>
        </w:tc>
        <w:tc>
          <w:tcPr>
            <w:tcW w:w="1722" w:type="dxa"/>
            <w:tcBorders>
              <w:top w:val="nil"/>
              <w:left w:val="nil"/>
              <w:bottom w:val="nil"/>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NA</w:t>
            </w:r>
          </w:p>
        </w:tc>
        <w:tc>
          <w:tcPr>
            <w:tcW w:w="1695" w:type="dxa"/>
            <w:tcBorders>
              <w:top w:val="nil"/>
              <w:left w:val="nil"/>
              <w:bottom w:val="nil"/>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NA</w:t>
            </w:r>
          </w:p>
        </w:tc>
        <w:tc>
          <w:tcPr>
            <w:tcW w:w="1420" w:type="dxa"/>
            <w:tcBorders>
              <w:top w:val="nil"/>
              <w:left w:val="nil"/>
              <w:bottom w:val="nil"/>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NA</w:t>
            </w:r>
          </w:p>
        </w:tc>
        <w:tc>
          <w:tcPr>
            <w:tcW w:w="410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N=95</w:t>
            </w:r>
          </w:p>
          <w:p>
            <w:pPr>
              <w:widowControl w:val="0"/>
              <w:numPr>
                <w:ilvl w:val="0"/>
                <w:numId w:val="0"/>
              </w:numPr>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rPr>
              <w:t>1. Confirm diagnosis*</w:t>
            </w:r>
          </w:p>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2. </w:t>
            </w:r>
            <w:r>
              <w:rPr>
                <w:rFonts w:hint="default" w:ascii="Times New Roman" w:hAnsi="Times New Roman" w:cs="Times New Roman"/>
                <w:sz w:val="20"/>
                <w:szCs w:val="20"/>
              </w:rPr>
              <w:t>Clinical diagnosis§</w:t>
            </w:r>
          </w:p>
        </w:tc>
        <w:tc>
          <w:tcPr>
            <w:tcW w:w="3385" w:type="dxa"/>
            <w:gridSpan w:val="2"/>
            <w:tcBorders>
              <w:top w:val="nil"/>
              <w:left w:val="nil"/>
              <w:bottom w:val="nil"/>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rPr>
              <w:t>local infection</w:t>
            </w:r>
            <w:r>
              <w:rPr>
                <w:rFonts w:hint="default" w:ascii="Times New Roman" w:hAnsi="Times New Roman" w:cs="Times New Roman"/>
                <w:sz w:val="20"/>
                <w:szCs w:val="20"/>
                <w:lang w:val="en-US" w:eastAsia="zh-CN"/>
              </w:rPr>
              <w:t>: n=53</w:t>
            </w:r>
          </w:p>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rPr>
              <w:t>Healthy newborn</w:t>
            </w:r>
            <w:r>
              <w:rPr>
                <w:rFonts w:hint="default" w:ascii="Times New Roman" w:hAnsi="Times New Roman" w:cs="Times New Roman"/>
                <w:sz w:val="20"/>
                <w:szCs w:val="20"/>
                <w:lang w:val="en-US" w:eastAsia="zh-CN"/>
              </w:rPr>
              <w:t>:n=</w:t>
            </w:r>
            <w:r>
              <w:rPr>
                <w:rFonts w:hint="default" w:ascii="Times New Roman" w:hAnsi="Times New Roman" w:cs="Times New Roman"/>
                <w:sz w:val="20"/>
                <w:szCs w:val="20"/>
              </w:rPr>
              <w:t xml:space="preserve"> 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193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Li Z,2012</w:t>
            </w:r>
          </w:p>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cs="Times New Roman"/>
                <w:b w:val="0"/>
                <w:bCs w:val="0"/>
                <w:sz w:val="20"/>
                <w:szCs w:val="20"/>
                <w:lang w:val="en-US" w:eastAsia="zh-CN"/>
              </w:rPr>
              <w:t>(excluded）</w:t>
            </w:r>
          </w:p>
        </w:tc>
        <w:tc>
          <w:tcPr>
            <w:tcW w:w="1552" w:type="dxa"/>
            <w:tcBorders>
              <w:top w:val="nil"/>
              <w:left w:val="nil"/>
              <w:bottom w:val="nil"/>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China</w:t>
            </w:r>
          </w:p>
        </w:tc>
        <w:tc>
          <w:tcPr>
            <w:tcW w:w="1365" w:type="dxa"/>
            <w:tcBorders>
              <w:top w:val="nil"/>
              <w:left w:val="nil"/>
              <w:bottom w:val="nil"/>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Mar,2008-Aug,2010</w:t>
            </w:r>
          </w:p>
        </w:tc>
        <w:tc>
          <w:tcPr>
            <w:tcW w:w="230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control study</w:t>
            </w:r>
          </w:p>
        </w:tc>
        <w:tc>
          <w:tcPr>
            <w:tcW w:w="1584" w:type="dxa"/>
            <w:tcBorders>
              <w:top w:val="nil"/>
              <w:left w:val="nil"/>
              <w:bottom w:val="nil"/>
              <w:right w:val="nil"/>
            </w:tcBorders>
            <w:vAlign w:val="center"/>
          </w:tcPr>
          <w:p>
            <w:pPr>
              <w:widowControl w:val="0"/>
              <w:numPr>
                <w:ilvl w:val="0"/>
                <w:numId w:val="0"/>
              </w:numPr>
              <w:ind w:left="0" w:leftChars="0" w:firstLine="0" w:firstLineChars="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eastAsia="宋体" w:cs="Times New Roman"/>
                <w:sz w:val="20"/>
                <w:szCs w:val="20"/>
                <w:lang w:val="en-US" w:eastAsia="zh-CN"/>
              </w:rPr>
              <w:t>4.6±2.0</w:t>
            </w:r>
            <w:r>
              <w:rPr>
                <w:rFonts w:hint="default" w:ascii="Times New Roman" w:hAnsi="Times New Roman" w:cs="Times New Roman"/>
                <w:sz w:val="20"/>
                <w:szCs w:val="20"/>
                <w:lang w:val="en-US" w:eastAsia="zh-CN"/>
              </w:rPr>
              <w:t>/7.5±5.0</w:t>
            </w:r>
          </w:p>
        </w:tc>
        <w:tc>
          <w:tcPr>
            <w:tcW w:w="1722" w:type="dxa"/>
            <w:tcBorders>
              <w:top w:val="nil"/>
              <w:left w:val="nil"/>
              <w:bottom w:val="nil"/>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NA</w:t>
            </w:r>
          </w:p>
        </w:tc>
        <w:tc>
          <w:tcPr>
            <w:tcW w:w="1695" w:type="dxa"/>
            <w:tcBorders>
              <w:top w:val="nil"/>
              <w:left w:val="nil"/>
              <w:bottom w:val="nil"/>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NA</w:t>
            </w:r>
          </w:p>
        </w:tc>
        <w:tc>
          <w:tcPr>
            <w:tcW w:w="1420" w:type="dxa"/>
            <w:tcBorders>
              <w:top w:val="nil"/>
              <w:left w:val="nil"/>
              <w:bottom w:val="nil"/>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NA</w:t>
            </w:r>
          </w:p>
        </w:tc>
        <w:tc>
          <w:tcPr>
            <w:tcW w:w="410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N=87</w:t>
            </w:r>
          </w:p>
          <w:p>
            <w:pPr>
              <w:widowControl w:val="0"/>
              <w:numPr>
                <w:ilvl w:val="0"/>
                <w:numId w:val="0"/>
              </w:numPr>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rPr>
              <w:t>1. Confirm diagnosis*</w:t>
            </w:r>
          </w:p>
          <w:p>
            <w:pPr>
              <w:widowControl w:val="0"/>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2. </w:t>
            </w:r>
            <w:r>
              <w:rPr>
                <w:rFonts w:hint="default" w:ascii="Times New Roman" w:hAnsi="Times New Roman" w:cs="Times New Roman"/>
                <w:sz w:val="20"/>
                <w:szCs w:val="20"/>
              </w:rPr>
              <w:t>Clinical diagnosis§</w:t>
            </w:r>
          </w:p>
        </w:tc>
        <w:tc>
          <w:tcPr>
            <w:tcW w:w="3385" w:type="dxa"/>
            <w:gridSpan w:val="2"/>
            <w:tcBorders>
              <w:top w:val="nil"/>
              <w:left w:val="nil"/>
              <w:bottom w:val="nil"/>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rPr>
              <w:t>Healthy newborn</w:t>
            </w:r>
            <w:r>
              <w:rPr>
                <w:rFonts w:hint="default" w:ascii="Times New Roman" w:hAnsi="Times New Roman" w:cs="Times New Roman"/>
                <w:sz w:val="20"/>
                <w:szCs w:val="20"/>
                <w:lang w:val="en-US" w:eastAsia="zh-CN"/>
              </w:rPr>
              <w:t>:n=</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193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Xie J et al,2010</w:t>
            </w:r>
          </w:p>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cs="Times New Roman"/>
                <w:b w:val="0"/>
                <w:bCs w:val="0"/>
                <w:sz w:val="20"/>
                <w:szCs w:val="20"/>
                <w:lang w:val="en-US" w:eastAsia="zh-CN"/>
              </w:rPr>
              <w:t>（excluded）</w:t>
            </w:r>
          </w:p>
        </w:tc>
        <w:tc>
          <w:tcPr>
            <w:tcW w:w="1552" w:type="dxa"/>
            <w:tcBorders>
              <w:top w:val="nil"/>
              <w:left w:val="nil"/>
              <w:bottom w:val="nil"/>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China</w:t>
            </w:r>
          </w:p>
        </w:tc>
        <w:tc>
          <w:tcPr>
            <w:tcW w:w="1365" w:type="dxa"/>
            <w:tcBorders>
              <w:top w:val="nil"/>
              <w:left w:val="nil"/>
              <w:bottom w:val="nil"/>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rPr>
              <w:t>Janu</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2008</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June</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2009</w:t>
            </w:r>
          </w:p>
        </w:tc>
        <w:tc>
          <w:tcPr>
            <w:tcW w:w="230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control study</w:t>
            </w:r>
          </w:p>
        </w:tc>
        <w:tc>
          <w:tcPr>
            <w:tcW w:w="158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3d</w:t>
            </w:r>
          </w:p>
        </w:tc>
        <w:tc>
          <w:tcPr>
            <w:tcW w:w="172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NA</w:t>
            </w:r>
          </w:p>
        </w:tc>
        <w:tc>
          <w:tcPr>
            <w:tcW w:w="1695"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NA</w:t>
            </w:r>
          </w:p>
        </w:tc>
        <w:tc>
          <w:tcPr>
            <w:tcW w:w="1420" w:type="dxa"/>
            <w:tcBorders>
              <w:top w:val="nil"/>
              <w:left w:val="nil"/>
              <w:bottom w:val="nil"/>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NA</w:t>
            </w:r>
          </w:p>
        </w:tc>
        <w:tc>
          <w:tcPr>
            <w:tcW w:w="410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N=80</w:t>
            </w:r>
          </w:p>
          <w:p>
            <w:pPr>
              <w:widowControl w:val="0"/>
              <w:numPr>
                <w:ilvl w:val="0"/>
                <w:numId w:val="0"/>
              </w:numPr>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rPr>
              <w:t>1. Confirm diagnosis*</w:t>
            </w:r>
          </w:p>
          <w:p>
            <w:pPr>
              <w:widowControl w:val="0"/>
              <w:numPr>
                <w:ilvl w:val="0"/>
                <w:numId w:val="0"/>
              </w:numPr>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2. </w:t>
            </w:r>
            <w:r>
              <w:rPr>
                <w:rFonts w:hint="default" w:ascii="Times New Roman" w:hAnsi="Times New Roman" w:cs="Times New Roman"/>
                <w:sz w:val="20"/>
                <w:szCs w:val="20"/>
              </w:rPr>
              <w:t>Clinical diagnosis§</w:t>
            </w:r>
          </w:p>
        </w:tc>
        <w:tc>
          <w:tcPr>
            <w:tcW w:w="3385" w:type="dxa"/>
            <w:gridSpan w:val="2"/>
            <w:tcBorders>
              <w:top w:val="nil"/>
              <w:left w:val="nil"/>
              <w:bottom w:val="nil"/>
              <w:right w:val="nil"/>
            </w:tcBorders>
            <w:vAlign w:val="center"/>
          </w:tcPr>
          <w:p>
            <w:pPr>
              <w:widowControl w:val="0"/>
              <w:ind w:firstLine="200" w:firstLineChars="100"/>
              <w:rPr>
                <w:rFonts w:hint="default" w:ascii="Times New Roman" w:hAnsi="Times New Roman" w:cs="Times New Roman"/>
                <w:sz w:val="20"/>
                <w:szCs w:val="20"/>
                <w:lang w:val="en-US" w:eastAsia="zh-CN"/>
              </w:rPr>
            </w:pPr>
          </w:p>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rPr>
              <w:t>Healthy newborn</w:t>
            </w:r>
            <w:r>
              <w:rPr>
                <w:rFonts w:hint="default" w:ascii="Times New Roman" w:hAnsi="Times New Roman" w:cs="Times New Roman"/>
                <w:sz w:val="20"/>
                <w:szCs w:val="20"/>
                <w:lang w:val="en-US" w:eastAsia="zh-CN"/>
              </w:rPr>
              <w:t>:n=</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trPr>
        <w:tc>
          <w:tcPr>
            <w:tcW w:w="1930" w:type="dxa"/>
            <w:tcBorders>
              <w:top w:val="nil"/>
              <w:left w:val="nil"/>
              <w:bottom w:val="single" w:color="auto" w:sz="4" w:space="0"/>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Qiu et al,2015</w:t>
            </w:r>
          </w:p>
          <w:p>
            <w:pPr>
              <w:keepNext w:val="0"/>
              <w:keepLines w:val="0"/>
              <w:widowControl/>
              <w:suppressLineNumbers w:val="0"/>
              <w:jc w:val="left"/>
              <w:textAlignment w:val="center"/>
              <w:rPr>
                <w:rFonts w:hint="default" w:ascii="Times New Roman" w:hAnsi="Times New Roman" w:cs="Times New Roman"/>
                <w:b w:val="0"/>
                <w:bCs w:val="0"/>
                <w:sz w:val="20"/>
                <w:szCs w:val="20"/>
                <w:lang w:val="en-US" w:eastAsia="zh-CN"/>
              </w:rPr>
            </w:pPr>
            <w:r>
              <w:rPr>
                <w:rFonts w:hint="default" w:ascii="Times New Roman" w:hAnsi="Times New Roman" w:cs="Times New Roman"/>
                <w:sz w:val="20"/>
                <w:szCs w:val="20"/>
                <w:lang w:val="en-US" w:eastAsia="zh-CN"/>
              </w:rPr>
              <w:t>（excluded）</w:t>
            </w:r>
          </w:p>
        </w:tc>
        <w:tc>
          <w:tcPr>
            <w:tcW w:w="1552" w:type="dxa"/>
            <w:tcBorders>
              <w:top w:val="nil"/>
              <w:left w:val="nil"/>
              <w:bottom w:val="single" w:color="auto" w:sz="4" w:space="0"/>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China</w:t>
            </w:r>
          </w:p>
        </w:tc>
        <w:tc>
          <w:tcPr>
            <w:tcW w:w="1365" w:type="dxa"/>
            <w:tcBorders>
              <w:top w:val="nil"/>
              <w:left w:val="nil"/>
              <w:bottom w:val="single" w:color="auto" w:sz="4" w:space="0"/>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Janu,2013-Dec,2014</w:t>
            </w:r>
          </w:p>
        </w:tc>
        <w:tc>
          <w:tcPr>
            <w:tcW w:w="2304" w:type="dxa"/>
            <w:tcBorders>
              <w:top w:val="nil"/>
              <w:left w:val="nil"/>
              <w:bottom w:val="single" w:color="auto" w:sz="4" w:space="0"/>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control study</w:t>
            </w:r>
          </w:p>
        </w:tc>
        <w:tc>
          <w:tcPr>
            <w:tcW w:w="1584" w:type="dxa"/>
            <w:tcBorders>
              <w:top w:val="nil"/>
              <w:left w:val="nil"/>
              <w:bottom w:val="single" w:color="auto" w:sz="4" w:space="0"/>
              <w:right w:val="nil"/>
            </w:tcBorders>
            <w:vAlign w:val="center"/>
          </w:tcPr>
          <w:p>
            <w:pPr>
              <w:widowControl w:val="0"/>
              <w:numPr>
                <w:ilvl w:val="0"/>
                <w:numId w:val="0"/>
              </w:numPr>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2±4</w:t>
            </w:r>
            <w:r>
              <w:rPr>
                <w:rFonts w:hint="default"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1</w:t>
            </w:r>
            <w:r>
              <w:rPr>
                <w:rFonts w:hint="default" w:ascii="Times New Roman" w:hAnsi="Times New Roman" w:cs="Times New Roman"/>
                <w:sz w:val="20"/>
                <w:szCs w:val="20"/>
                <w:lang w:val="en-US" w:eastAsia="zh-CN"/>
              </w:rPr>
              <w:t>/</w:t>
            </w:r>
          </w:p>
          <w:p>
            <w:pPr>
              <w:widowControl w:val="0"/>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5.8±3.7/</w:t>
            </w:r>
          </w:p>
          <w:p>
            <w:pPr>
              <w:widowControl w:val="0"/>
              <w:numPr>
                <w:ilvl w:val="0"/>
                <w:numId w:val="0"/>
              </w:numPr>
              <w:ind w:left="0" w:leftChars="0" w:firstLine="0" w:firstLineChars="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5.3±3.0</w:t>
            </w:r>
          </w:p>
        </w:tc>
        <w:tc>
          <w:tcPr>
            <w:tcW w:w="1722" w:type="dxa"/>
            <w:tcBorders>
              <w:top w:val="nil"/>
              <w:left w:val="nil"/>
              <w:bottom w:val="single" w:color="auto" w:sz="4" w:space="0"/>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NA</w:t>
            </w:r>
          </w:p>
        </w:tc>
        <w:tc>
          <w:tcPr>
            <w:tcW w:w="1695" w:type="dxa"/>
            <w:tcBorders>
              <w:top w:val="nil"/>
              <w:left w:val="nil"/>
              <w:bottom w:val="single" w:color="auto" w:sz="4" w:space="0"/>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NA</w:t>
            </w:r>
          </w:p>
        </w:tc>
        <w:tc>
          <w:tcPr>
            <w:tcW w:w="1420" w:type="dxa"/>
            <w:tcBorders>
              <w:top w:val="nil"/>
              <w:left w:val="nil"/>
              <w:bottom w:val="single" w:color="auto" w:sz="4" w:space="0"/>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nil"/>
              <w:left w:val="nil"/>
              <w:bottom w:val="single" w:color="auto" w:sz="4" w:space="0"/>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N=67</w:t>
            </w:r>
          </w:p>
          <w:p>
            <w:pPr>
              <w:widowControl w:val="0"/>
              <w:numPr>
                <w:ilvl w:val="0"/>
                <w:numId w:val="0"/>
              </w:numPr>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rPr>
              <w:t>1. Confirm diagnosis*</w:t>
            </w:r>
          </w:p>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2. </w:t>
            </w:r>
            <w:r>
              <w:rPr>
                <w:rFonts w:hint="default" w:ascii="Times New Roman" w:hAnsi="Times New Roman" w:cs="Times New Roman"/>
                <w:sz w:val="20"/>
                <w:szCs w:val="20"/>
              </w:rPr>
              <w:t>Clinical diagnosis§</w:t>
            </w:r>
          </w:p>
        </w:tc>
        <w:tc>
          <w:tcPr>
            <w:tcW w:w="3385" w:type="dxa"/>
            <w:gridSpan w:val="2"/>
            <w:tcBorders>
              <w:top w:val="nil"/>
              <w:left w:val="nil"/>
              <w:bottom w:val="single" w:color="auto" w:sz="4" w:space="0"/>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rPr>
              <w:t>local infection</w:t>
            </w:r>
            <w:r>
              <w:rPr>
                <w:rFonts w:hint="default" w:ascii="Times New Roman" w:hAnsi="Times New Roman" w:cs="Times New Roman"/>
                <w:sz w:val="20"/>
                <w:szCs w:val="20"/>
                <w:lang w:val="en-US" w:eastAsia="zh-CN"/>
              </w:rPr>
              <w:t>: n=63</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Healthy newborn</w:t>
            </w:r>
            <w:r>
              <w:rPr>
                <w:rFonts w:hint="default" w:ascii="Times New Roman" w:hAnsi="Times New Roman" w:cs="Times New Roman"/>
                <w:sz w:val="20"/>
                <w:szCs w:val="20"/>
                <w:lang w:val="en-US" w:eastAsia="zh-CN"/>
              </w:rPr>
              <w:t>:n=</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65</w:t>
            </w:r>
          </w:p>
        </w:tc>
      </w:tr>
    </w:tbl>
    <w:p>
      <w:pPr>
        <w:rPr>
          <w:rFonts w:hint="default" w:ascii="Times New Roman" w:hAnsi="Times New Roman" w:cs="Times New Roman"/>
          <w:sz w:val="20"/>
          <w:szCs w:val="20"/>
        </w:rPr>
      </w:pPr>
      <w:r>
        <w:rPr>
          <w:rFonts w:hint="default" w:ascii="Times New Roman" w:hAnsi="Times New Roman" w:cs="Times New Roman"/>
          <w:sz w:val="20"/>
          <w:szCs w:val="20"/>
        </w:rPr>
        <w:t>EOS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early onset sepsis, LOS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late-onset sepsis</w:t>
      </w:r>
    </w:p>
    <w:p>
      <w:pPr>
        <w:rPr>
          <w:rFonts w:hint="default" w:ascii="Times New Roman" w:hAnsi="Times New Roman" w:cs="Times New Roman"/>
          <w:sz w:val="20"/>
          <w:szCs w:val="20"/>
        </w:rPr>
      </w:pPr>
    </w:p>
    <w:p>
      <w:pPr>
        <w:rPr>
          <w:rFonts w:hint="default" w:ascii="Times New Roman" w:hAnsi="Times New Roman" w:cs="Times New Roman"/>
          <w:b/>
          <w:bCs/>
          <w:sz w:val="20"/>
          <w:szCs w:val="20"/>
        </w:rPr>
      </w:pPr>
    </w:p>
    <w:p>
      <w:pPr>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Table </w:t>
      </w:r>
      <w:r>
        <w:rPr>
          <w:rFonts w:hint="default" w:ascii="Times New Roman" w:hAnsi="Times New Roman" w:cs="Times New Roman"/>
          <w:b/>
          <w:bCs/>
          <w:sz w:val="20"/>
          <w:szCs w:val="20"/>
          <w:lang w:val="en-US" w:eastAsia="zh-CN"/>
        </w:rPr>
        <w:t>2</w:t>
      </w:r>
      <w:r>
        <w:rPr>
          <w:rFonts w:hint="default" w:ascii="Times New Roman" w:hAnsi="Times New Roman" w:cs="Times New Roman"/>
          <w:b/>
          <w:bCs/>
          <w:sz w:val="20"/>
          <w:szCs w:val="20"/>
        </w:rPr>
        <w:t xml:space="preserve"> continued</w:t>
      </w:r>
    </w:p>
    <w:tbl>
      <w:tblPr>
        <w:tblStyle w:val="5"/>
        <w:tblW w:w="21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1552"/>
        <w:gridCol w:w="1365"/>
        <w:gridCol w:w="2304"/>
        <w:gridCol w:w="1584"/>
        <w:gridCol w:w="1722"/>
        <w:gridCol w:w="1695"/>
        <w:gridCol w:w="1420"/>
        <w:gridCol w:w="4100"/>
        <w:gridCol w:w="3384"/>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07" w:hRule="atLeast"/>
        </w:trPr>
        <w:tc>
          <w:tcPr>
            <w:tcW w:w="1930"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Author, </w:t>
            </w:r>
          </w:p>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publication</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year</w:t>
            </w:r>
          </w:p>
        </w:tc>
        <w:tc>
          <w:tcPr>
            <w:tcW w:w="1552"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Country</w:t>
            </w:r>
            <w:r>
              <w:rPr>
                <w:rFonts w:hint="default" w:ascii="Times New Roman" w:hAnsi="Times New Roman" w:cs="Times New Roman"/>
                <w:b/>
                <w:bCs/>
                <w:sz w:val="20"/>
                <w:szCs w:val="20"/>
                <w:lang w:val="en-US" w:eastAsia="zh-CN"/>
              </w:rPr>
              <w:t>, Region</w:t>
            </w:r>
          </w:p>
        </w:tc>
        <w:tc>
          <w:tcPr>
            <w:tcW w:w="1365"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Study period</w:t>
            </w:r>
          </w:p>
        </w:tc>
        <w:tc>
          <w:tcPr>
            <w:tcW w:w="2304"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Study design</w:t>
            </w:r>
          </w:p>
        </w:tc>
        <w:tc>
          <w:tcPr>
            <w:tcW w:w="5001" w:type="dxa"/>
            <w:gridSpan w:val="3"/>
            <w:tcBorders>
              <w:left w:val="nil"/>
              <w:right w:val="nil"/>
            </w:tcBorders>
            <w:vAlign w:val="center"/>
          </w:tcPr>
          <w:p>
            <w:pPr>
              <w:widowControl w:val="0"/>
              <w:ind w:firstLine="1405" w:firstLineChars="700"/>
              <w:rPr>
                <w:rFonts w:hint="default" w:ascii="Times New Roman" w:hAnsi="Times New Roman" w:cs="Times New Roman"/>
                <w:b/>
                <w:bCs/>
                <w:sz w:val="20"/>
                <w:szCs w:val="20"/>
              </w:rPr>
            </w:pPr>
            <w:r>
              <w:rPr>
                <w:rFonts w:hint="default" w:ascii="Times New Roman" w:hAnsi="Times New Roman" w:cs="Times New Roman"/>
                <w:b/>
                <w:bCs/>
                <w:sz w:val="20"/>
                <w:szCs w:val="20"/>
              </w:rPr>
              <w:t>Study population</w:t>
            </w:r>
          </w:p>
        </w:tc>
        <w:tc>
          <w:tcPr>
            <w:tcW w:w="1420"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Sepsis onset</w:t>
            </w:r>
          </w:p>
        </w:tc>
        <w:tc>
          <w:tcPr>
            <w:tcW w:w="7484" w:type="dxa"/>
            <w:gridSpan w:val="2"/>
            <w:tcBorders>
              <w:left w:val="nil"/>
              <w:bottom w:val="single" w:color="auto" w:sz="4" w:space="0"/>
              <w:right w:val="nil"/>
            </w:tcBorders>
            <w:vAlign w:val="center"/>
          </w:tcPr>
          <w:p>
            <w:pPr>
              <w:widowControl w:val="0"/>
              <w:ind w:firstLine="1606" w:firstLineChars="800"/>
              <w:rPr>
                <w:rFonts w:hint="default" w:ascii="Times New Roman" w:hAnsi="Times New Roman" w:cs="Times New Roman"/>
                <w:b/>
                <w:bCs/>
                <w:sz w:val="20"/>
                <w:szCs w:val="20"/>
              </w:rPr>
            </w:pPr>
            <w:r>
              <w:rPr>
                <w:rFonts w:hint="default" w:ascii="Times New Roman" w:hAnsi="Times New Roman" w:cs="Times New Roman"/>
                <w:b/>
                <w:bCs/>
                <w:sz w:val="20"/>
                <w:szCs w:val="20"/>
              </w:rPr>
              <w:t>Characteristics and number of patients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930"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1552"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1365"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2304"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1584" w:type="dxa"/>
            <w:tcBorders>
              <w:left w:val="nil"/>
              <w:bottom w:val="single" w:color="auto" w:sz="4" w:space="0"/>
              <w:right w:val="nil"/>
            </w:tcBorders>
            <w:vAlign w:val="center"/>
          </w:tcPr>
          <w:p>
            <w:pPr>
              <w:widowControl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(day)</w:t>
            </w:r>
          </w:p>
          <w:p>
            <w:pPr>
              <w:widowControl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(sep/Non-sep)</w:t>
            </w:r>
          </w:p>
        </w:tc>
        <w:tc>
          <w:tcPr>
            <w:tcW w:w="1722" w:type="dxa"/>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Gestational</w:t>
            </w:r>
          </w:p>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(sep/Non-sep)</w:t>
            </w:r>
            <w:r>
              <w:rPr>
                <w:rFonts w:hint="default" w:ascii="Times New Roman" w:hAnsi="Times New Roman" w:cs="Times New Roman"/>
                <w:b/>
                <w:bCs/>
                <w:sz w:val="20"/>
                <w:szCs w:val="20"/>
              </w:rPr>
              <w:t>(weeks)</w:t>
            </w:r>
          </w:p>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(mean ± SD)</w:t>
            </w:r>
          </w:p>
        </w:tc>
        <w:tc>
          <w:tcPr>
            <w:tcW w:w="1695" w:type="dxa"/>
            <w:tcBorders>
              <w:left w:val="nil"/>
              <w:bottom w:val="single" w:color="auto" w:sz="4" w:space="0"/>
              <w:right w:val="nil"/>
            </w:tcBorders>
            <w:vAlign w:val="center"/>
          </w:tcPr>
          <w:p>
            <w:pPr>
              <w:widowControl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Weight</w:t>
            </w:r>
            <w:r>
              <w:rPr>
                <w:rFonts w:hint="default" w:ascii="Times New Roman" w:hAnsi="Times New Roman" w:cs="Times New Roman"/>
                <w:b/>
                <w:bCs/>
                <w:sz w:val="20"/>
                <w:szCs w:val="20"/>
                <w:lang w:val="en-US" w:eastAsia="zh-CN"/>
              </w:rPr>
              <w:t>(sep/</w:t>
            </w:r>
          </w:p>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lang w:val="en-US" w:eastAsia="zh-CN"/>
              </w:rPr>
              <w:t xml:space="preserve">Non-sep)  </w:t>
            </w:r>
            <w:r>
              <w:rPr>
                <w:rFonts w:hint="default" w:ascii="Times New Roman" w:hAnsi="Times New Roman" w:cs="Times New Roman"/>
                <w:b/>
                <w:bCs/>
                <w:sz w:val="20"/>
                <w:szCs w:val="20"/>
              </w:rPr>
              <w:t>(mean ± SD, g)</w:t>
            </w:r>
          </w:p>
        </w:tc>
        <w:tc>
          <w:tcPr>
            <w:tcW w:w="1420"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4100" w:type="dxa"/>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Septic group</w:t>
            </w:r>
          </w:p>
        </w:tc>
        <w:tc>
          <w:tcPr>
            <w:tcW w:w="3385" w:type="dxa"/>
            <w:gridSpan w:val="2"/>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Non-septic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5" w:hRule="atLeast"/>
        </w:trPr>
        <w:tc>
          <w:tcPr>
            <w:tcW w:w="1930" w:type="dxa"/>
            <w:tcBorders>
              <w:top w:val="single" w:color="auto" w:sz="4" w:space="0"/>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Wei et al,2015 </w:t>
            </w:r>
            <w:r>
              <w:rPr>
                <w:rFonts w:hint="default" w:ascii="Times New Roman" w:hAnsi="Times New Roman" w:cs="Times New Roman"/>
                <w:b w:val="0"/>
                <w:bCs w:val="0"/>
                <w:i w:val="0"/>
                <w:color w:val="000000"/>
                <w:kern w:val="0"/>
                <w:sz w:val="20"/>
                <w:szCs w:val="20"/>
                <w:u w:val="none"/>
                <w:lang w:val="en-US" w:eastAsia="zh-CN" w:bidi="ar"/>
              </w:rPr>
              <w:t>[30]</w:t>
            </w:r>
          </w:p>
        </w:tc>
        <w:tc>
          <w:tcPr>
            <w:tcW w:w="1552" w:type="dxa"/>
            <w:tcBorders>
              <w:top w:val="single" w:color="auto" w:sz="4" w:space="0"/>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China</w:t>
            </w:r>
          </w:p>
        </w:tc>
        <w:tc>
          <w:tcPr>
            <w:tcW w:w="1365" w:type="dxa"/>
            <w:tcBorders>
              <w:top w:val="single" w:color="auto" w:sz="4" w:space="0"/>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Janu,2012-Oct,2014</w:t>
            </w:r>
          </w:p>
        </w:tc>
        <w:tc>
          <w:tcPr>
            <w:tcW w:w="2304" w:type="dxa"/>
            <w:tcBorders>
              <w:top w:val="single" w:color="auto" w:sz="4" w:space="0"/>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control study</w:t>
            </w:r>
          </w:p>
        </w:tc>
        <w:tc>
          <w:tcPr>
            <w:tcW w:w="1584" w:type="dxa"/>
            <w:tcBorders>
              <w:top w:val="single" w:color="auto" w:sz="4" w:space="0"/>
              <w:left w:val="nil"/>
              <w:bottom w:val="nil"/>
              <w:right w:val="nil"/>
            </w:tcBorders>
            <w:vAlign w:val="center"/>
          </w:tcPr>
          <w:p>
            <w:pPr>
              <w:widowControl w:val="0"/>
              <w:numPr>
                <w:ilvl w:val="0"/>
                <w:numId w:val="0"/>
              </w:numP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15</w:t>
            </w:r>
            <w:r>
              <w:rPr>
                <w:rFonts w:hint="default"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7±3</w:t>
            </w:r>
            <w:r>
              <w:rPr>
                <w:rFonts w:hint="default"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6</w:t>
            </w:r>
          </w:p>
          <w:p>
            <w:pPr>
              <w:widowControl w:val="0"/>
              <w:numPr>
                <w:ilvl w:val="0"/>
                <w:numId w:val="0"/>
              </w:numPr>
              <w:ind w:left="0" w:leftChars="0" w:firstLine="0" w:firstLineChars="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16</w:t>
            </w:r>
            <w:r>
              <w:rPr>
                <w:rFonts w:hint="default"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1±4</w:t>
            </w:r>
            <w:r>
              <w:rPr>
                <w:rFonts w:hint="default"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1</w:t>
            </w:r>
          </w:p>
        </w:tc>
        <w:tc>
          <w:tcPr>
            <w:tcW w:w="1722" w:type="dxa"/>
            <w:tcBorders>
              <w:top w:val="single" w:color="auto" w:sz="4" w:space="0"/>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1695" w:type="dxa"/>
            <w:tcBorders>
              <w:top w:val="single" w:color="auto" w:sz="4" w:space="0"/>
              <w:left w:val="nil"/>
              <w:bottom w:val="nil"/>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NA</w:t>
            </w:r>
          </w:p>
        </w:tc>
        <w:tc>
          <w:tcPr>
            <w:tcW w:w="1420" w:type="dxa"/>
            <w:tcBorders>
              <w:top w:val="single" w:color="auto" w:sz="4" w:space="0"/>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single" w:color="auto" w:sz="4" w:space="0"/>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N=50</w:t>
            </w:r>
          </w:p>
          <w:p>
            <w:pPr>
              <w:widowControl w:val="0"/>
              <w:numPr>
                <w:ilvl w:val="0"/>
                <w:numId w:val="0"/>
              </w:numPr>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rPr>
              <w:t>1. Confirm diagnosis*</w:t>
            </w:r>
          </w:p>
          <w:p>
            <w:pPr>
              <w:widowControl w:val="0"/>
              <w:numPr>
                <w:ilvl w:val="0"/>
                <w:numId w:val="5"/>
              </w:numPr>
              <w:rPr>
                <w:rFonts w:hint="default" w:ascii="Times New Roman" w:hAnsi="Times New Roman" w:cs="Times New Roman"/>
                <w:sz w:val="20"/>
                <w:szCs w:val="20"/>
                <w:lang w:val="en-US" w:eastAsia="zh-CN"/>
              </w:rPr>
            </w:pPr>
            <w:r>
              <w:rPr>
                <w:rFonts w:hint="default" w:ascii="Times New Roman" w:hAnsi="Times New Roman" w:cs="Times New Roman"/>
                <w:sz w:val="20"/>
                <w:szCs w:val="20"/>
              </w:rPr>
              <w:t>Clinical diagnosis§</w:t>
            </w:r>
          </w:p>
          <w:p>
            <w:pPr>
              <w:widowControl w:val="0"/>
              <w:numPr>
                <w:ilvl w:val="0"/>
                <w:numId w:val="0"/>
              </w:numPr>
              <w:ind w:leftChars="0"/>
              <w:jc w:val="both"/>
              <w:rPr>
                <w:rFonts w:hint="default" w:ascii="Times New Roman" w:hAnsi="Times New Roman" w:cs="Times New Roman"/>
                <w:sz w:val="20"/>
                <w:szCs w:val="20"/>
              </w:rPr>
            </w:pPr>
          </w:p>
          <w:p>
            <w:pPr>
              <w:widowControl w:val="0"/>
              <w:numPr>
                <w:ilvl w:val="0"/>
                <w:numId w:val="0"/>
              </w:numPr>
              <w:ind w:leftChars="0"/>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Blood cultured Staphylococcus aureus in 24 cases (48.00%)  </w:t>
            </w:r>
          </w:p>
          <w:p>
            <w:pPr>
              <w:widowControl w:val="0"/>
              <w:numPr>
                <w:ilvl w:val="0"/>
                <w:numId w:val="0"/>
              </w:numPr>
              <w:ind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Staphylococcus epidermidis in 9 cases (18.00%)</w:t>
            </w:r>
          </w:p>
          <w:p>
            <w:pPr>
              <w:widowControl w:val="0"/>
              <w:numPr>
                <w:ilvl w:val="0"/>
                <w:numId w:val="0"/>
              </w:numPr>
              <w:ind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Staphylococcus haemolyticus in 4 cases (8.00%)</w:t>
            </w:r>
          </w:p>
          <w:p>
            <w:pPr>
              <w:widowControl w:val="0"/>
              <w:numPr>
                <w:ilvl w:val="0"/>
                <w:numId w:val="0"/>
              </w:numPr>
              <w:ind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Klebsiella pneumoniae in 3 cases (6.00%)</w:t>
            </w:r>
          </w:p>
          <w:p>
            <w:pPr>
              <w:widowControl w:val="0"/>
              <w:numPr>
                <w:ilvl w:val="0"/>
                <w:numId w:val="0"/>
              </w:numPr>
              <w:ind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Escherichia coli in 3 cases (6.00%)</w:t>
            </w:r>
          </w:p>
          <w:p>
            <w:pPr>
              <w:widowControl w:val="0"/>
              <w:numPr>
                <w:ilvl w:val="0"/>
                <w:numId w:val="0"/>
              </w:numPr>
              <w:ind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Enterobacter cloacae in 3 cases (6.00%)</w:t>
            </w:r>
          </w:p>
          <w:p>
            <w:pPr>
              <w:widowControl w:val="0"/>
              <w:numPr>
                <w:ilvl w:val="0"/>
                <w:numId w:val="0"/>
              </w:numPr>
              <w:ind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Pseudomonas aeruginosa in 2 cases (4.00%)</w:t>
            </w:r>
          </w:p>
          <w:p>
            <w:pPr>
              <w:widowControl w:val="0"/>
              <w:numPr>
                <w:ilvl w:val="0"/>
                <w:numId w:val="0"/>
              </w:numPr>
              <w:ind w:leftChars="0"/>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Staphylococcus saprophytic in 2 cases (4. 00 %)</w:t>
            </w:r>
          </w:p>
        </w:tc>
        <w:tc>
          <w:tcPr>
            <w:tcW w:w="3385" w:type="dxa"/>
            <w:gridSpan w:val="2"/>
            <w:tcBorders>
              <w:top w:val="single" w:color="auto" w:sz="4" w:space="0"/>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locally infected newborns</w:t>
            </w:r>
            <w:r>
              <w:rPr>
                <w:rFonts w:hint="default" w:ascii="Times New Roman" w:hAnsi="Times New Roman" w:cs="Times New Roman"/>
                <w:sz w:val="20"/>
                <w:szCs w:val="20"/>
                <w:lang w:val="en-US" w:eastAsia="zh-CN"/>
              </w:rPr>
              <w:t>:n=50</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38 cases of bacterial pneumonia 12 cases of enteritis.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6" w:hRule="atLeast"/>
        </w:trPr>
        <w:tc>
          <w:tcPr>
            <w:tcW w:w="193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 xml:space="preserve">Guo et al,2014 </w:t>
            </w:r>
            <w:r>
              <w:rPr>
                <w:rFonts w:hint="default" w:ascii="Times New Roman" w:hAnsi="Times New Roman" w:cs="Times New Roman"/>
                <w:b w:val="0"/>
                <w:bCs w:val="0"/>
                <w:i w:val="0"/>
                <w:color w:val="000000"/>
                <w:kern w:val="0"/>
                <w:sz w:val="20"/>
                <w:szCs w:val="20"/>
                <w:u w:val="none"/>
                <w:lang w:val="en-US" w:eastAsia="zh-CN" w:bidi="ar"/>
              </w:rPr>
              <w:t>[31]</w:t>
            </w:r>
          </w:p>
        </w:tc>
        <w:tc>
          <w:tcPr>
            <w:tcW w:w="1552"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China</w:t>
            </w:r>
          </w:p>
        </w:tc>
        <w:tc>
          <w:tcPr>
            <w:tcW w:w="1365" w:type="dxa"/>
            <w:tcBorders>
              <w:top w:val="nil"/>
              <w:left w:val="nil"/>
              <w:bottom w:val="nil"/>
              <w:right w:val="nil"/>
            </w:tcBorders>
            <w:vAlign w:val="center"/>
          </w:tcPr>
          <w:p>
            <w:pPr>
              <w:widowControl w:val="0"/>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sz w:val="20"/>
                <w:szCs w:val="20"/>
                <w:lang w:val="en-US" w:eastAsia="zh-CN"/>
              </w:rPr>
              <w:t>Janu,2011-Janu,2014</w:t>
            </w:r>
          </w:p>
        </w:tc>
        <w:tc>
          <w:tcPr>
            <w:tcW w:w="230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sz w:val="20"/>
                <w:szCs w:val="20"/>
              </w:rPr>
              <w:t>control study</w:t>
            </w:r>
          </w:p>
        </w:tc>
        <w:tc>
          <w:tcPr>
            <w:tcW w:w="158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14.6±0.3</w:t>
            </w:r>
          </w:p>
        </w:tc>
        <w:tc>
          <w:tcPr>
            <w:tcW w:w="172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34±1</w:t>
            </w:r>
          </w:p>
        </w:tc>
        <w:tc>
          <w:tcPr>
            <w:tcW w:w="1695" w:type="dxa"/>
            <w:tcBorders>
              <w:top w:val="nil"/>
              <w:left w:val="nil"/>
              <w:bottom w:val="nil"/>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i w:val="0"/>
                <w:color w:val="000000"/>
                <w:kern w:val="0"/>
                <w:sz w:val="20"/>
                <w:szCs w:val="20"/>
                <w:u w:val="none"/>
                <w:lang w:val="en-US" w:eastAsia="zh-CN" w:bidi="ar"/>
              </w:rPr>
              <w:t>2150±150</w:t>
            </w:r>
          </w:p>
        </w:tc>
        <w:tc>
          <w:tcPr>
            <w:tcW w:w="142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N=50</w:t>
            </w:r>
          </w:p>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rPr>
              <w:t>1. Confirm diagnosis*</w:t>
            </w:r>
          </w:p>
          <w:p>
            <w:pPr>
              <w:widowControl w:val="0"/>
              <w:numPr>
                <w:ilvl w:val="0"/>
                <w:numId w:val="6"/>
              </w:numPr>
              <w:ind w:leftChars="0"/>
              <w:rPr>
                <w:rFonts w:hint="default" w:ascii="Times New Roman" w:hAnsi="Times New Roman" w:cs="Times New Roman"/>
                <w:sz w:val="20"/>
                <w:szCs w:val="20"/>
              </w:rPr>
            </w:pPr>
            <w:r>
              <w:rPr>
                <w:rFonts w:hint="default" w:ascii="Times New Roman" w:hAnsi="Times New Roman" w:cs="Times New Roman"/>
                <w:sz w:val="20"/>
                <w:szCs w:val="20"/>
              </w:rPr>
              <w:t>Clinical diagnosis§</w:t>
            </w:r>
          </w:p>
        </w:tc>
        <w:tc>
          <w:tcPr>
            <w:tcW w:w="3385" w:type="dxa"/>
            <w:gridSpan w:val="2"/>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Non-septic group</w:t>
            </w:r>
            <w:r>
              <w:rPr>
                <w:rFonts w:hint="default" w:ascii="Times New Roman" w:hAnsi="Times New Roman" w:cs="Times New Roman"/>
                <w:sz w:val="20"/>
                <w:szCs w:val="20"/>
                <w:lang w:val="en-US" w:eastAsia="zh-CN"/>
              </w:rPr>
              <w:t>:n=50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193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Ma et al,2012 </w:t>
            </w:r>
            <w:r>
              <w:rPr>
                <w:rFonts w:hint="default" w:ascii="Times New Roman" w:hAnsi="Times New Roman" w:cs="Times New Roman"/>
                <w:b w:val="0"/>
                <w:bCs w:val="0"/>
                <w:i w:val="0"/>
                <w:color w:val="000000"/>
                <w:kern w:val="0"/>
                <w:sz w:val="20"/>
                <w:szCs w:val="20"/>
                <w:u w:val="none"/>
                <w:lang w:val="en-US" w:eastAsia="zh-CN" w:bidi="ar"/>
              </w:rPr>
              <w:t>[32]</w:t>
            </w:r>
          </w:p>
        </w:tc>
        <w:tc>
          <w:tcPr>
            <w:tcW w:w="1552" w:type="dxa"/>
            <w:tcBorders>
              <w:top w:val="nil"/>
              <w:left w:val="nil"/>
              <w:bottom w:val="nil"/>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China </w:t>
            </w:r>
          </w:p>
        </w:tc>
        <w:tc>
          <w:tcPr>
            <w:tcW w:w="1365" w:type="dxa"/>
            <w:tcBorders>
              <w:top w:val="nil"/>
              <w:left w:val="nil"/>
              <w:bottom w:val="nil"/>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rPr>
              <w:t>July</w:t>
            </w:r>
            <w:r>
              <w:rPr>
                <w:rFonts w:hint="default" w:ascii="Times New Roman" w:hAnsi="Times New Roman" w:cs="Times New Roman"/>
                <w:sz w:val="20"/>
                <w:szCs w:val="20"/>
                <w:lang w:val="en-US" w:eastAsia="zh-CN"/>
              </w:rPr>
              <w:t>,2011-</w:t>
            </w:r>
            <w:r>
              <w:rPr>
                <w:rFonts w:hint="default" w:ascii="Times New Roman" w:hAnsi="Times New Roman" w:cs="Times New Roman"/>
                <w:sz w:val="20"/>
                <w:szCs w:val="20"/>
              </w:rPr>
              <w:t>Janu</w:t>
            </w:r>
            <w:r>
              <w:rPr>
                <w:rFonts w:hint="default" w:ascii="Times New Roman" w:hAnsi="Times New Roman" w:cs="Times New Roman"/>
                <w:sz w:val="20"/>
                <w:szCs w:val="20"/>
                <w:lang w:val="en-US" w:eastAsia="zh-CN"/>
              </w:rPr>
              <w:t>,2012</w:t>
            </w:r>
          </w:p>
        </w:tc>
        <w:tc>
          <w:tcPr>
            <w:tcW w:w="230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control study</w:t>
            </w:r>
          </w:p>
        </w:tc>
        <w:tc>
          <w:tcPr>
            <w:tcW w:w="1584"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16.5±5.6/</w:t>
            </w:r>
          </w:p>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i w:val="0"/>
                <w:color w:val="000000"/>
                <w:kern w:val="0"/>
                <w:sz w:val="20"/>
                <w:szCs w:val="20"/>
                <w:u w:val="none"/>
                <w:lang w:val="en-US" w:eastAsia="zh-CN" w:bidi="ar"/>
              </w:rPr>
              <w:t>3-29</w:t>
            </w:r>
          </w:p>
        </w:tc>
        <w:tc>
          <w:tcPr>
            <w:tcW w:w="1722"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i w:val="0"/>
                <w:color w:val="000000"/>
                <w:kern w:val="0"/>
                <w:sz w:val="20"/>
                <w:szCs w:val="20"/>
                <w:u w:val="none"/>
                <w:lang w:val="en-US" w:eastAsia="zh-CN" w:bidi="ar"/>
              </w:rPr>
              <w:t>NA</w:t>
            </w:r>
          </w:p>
        </w:tc>
        <w:tc>
          <w:tcPr>
            <w:tcW w:w="1695"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i w:val="0"/>
                <w:color w:val="000000"/>
                <w:kern w:val="0"/>
                <w:sz w:val="20"/>
                <w:szCs w:val="20"/>
                <w:u w:val="none"/>
                <w:lang w:val="en-US" w:eastAsia="zh-CN" w:bidi="ar"/>
              </w:rPr>
              <w:t>NA</w:t>
            </w:r>
          </w:p>
        </w:tc>
        <w:tc>
          <w:tcPr>
            <w:tcW w:w="142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nil"/>
              <w:left w:val="nil"/>
              <w:bottom w:val="nil"/>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N=32 </w:t>
            </w:r>
          </w:p>
          <w:p>
            <w:pPr>
              <w:widowControl w:val="0"/>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Confirm diagnosis*</w:t>
            </w:r>
          </w:p>
          <w:p>
            <w:pPr>
              <w:widowControl w:val="0"/>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Clinical diagnosis§</w:t>
            </w:r>
          </w:p>
        </w:tc>
        <w:tc>
          <w:tcPr>
            <w:tcW w:w="3385" w:type="dxa"/>
            <w:gridSpan w:val="2"/>
            <w:tcBorders>
              <w:top w:val="nil"/>
              <w:left w:val="nil"/>
              <w:bottom w:val="nil"/>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rPr>
              <w:t>local infection</w:t>
            </w:r>
            <w:r>
              <w:rPr>
                <w:rFonts w:hint="default" w:ascii="Times New Roman" w:hAnsi="Times New Roman" w:cs="Times New Roman"/>
                <w:sz w:val="20"/>
                <w:szCs w:val="20"/>
                <w:lang w:val="en-US" w:eastAsia="zh-CN"/>
              </w:rPr>
              <w:t>: n=41</w:t>
            </w:r>
          </w:p>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Non-infection: n=</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1" w:hRule="atLeast"/>
        </w:trPr>
        <w:tc>
          <w:tcPr>
            <w:tcW w:w="1930" w:type="dxa"/>
            <w:tcBorders>
              <w:top w:val="nil"/>
              <w:left w:val="nil"/>
              <w:bottom w:val="single" w:color="auto" w:sz="4" w:space="0"/>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Feng et al,2010</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（excluded）</w:t>
            </w:r>
          </w:p>
        </w:tc>
        <w:tc>
          <w:tcPr>
            <w:tcW w:w="1552" w:type="dxa"/>
            <w:tcBorders>
              <w:top w:val="nil"/>
              <w:left w:val="nil"/>
              <w:bottom w:val="single" w:color="auto" w:sz="4" w:space="0"/>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China</w:t>
            </w:r>
          </w:p>
        </w:tc>
        <w:tc>
          <w:tcPr>
            <w:tcW w:w="1365" w:type="dxa"/>
            <w:tcBorders>
              <w:top w:val="nil"/>
              <w:left w:val="nil"/>
              <w:bottom w:val="single" w:color="auto" w:sz="4" w:space="0"/>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Jan,2006-Aug,2009</w:t>
            </w:r>
          </w:p>
        </w:tc>
        <w:tc>
          <w:tcPr>
            <w:tcW w:w="2304" w:type="dxa"/>
            <w:tcBorders>
              <w:top w:val="nil"/>
              <w:left w:val="nil"/>
              <w:bottom w:val="single" w:color="auto" w:sz="4" w:space="0"/>
              <w:right w:val="nil"/>
            </w:tcBorders>
            <w:vAlign w:val="center"/>
          </w:tcPr>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case</w:t>
            </w:r>
          </w:p>
          <w:p>
            <w:pPr>
              <w:keepNext w:val="0"/>
              <w:keepLines w:val="0"/>
              <w:widowControl/>
              <w:suppressLineNumbers w:val="0"/>
              <w:jc w:val="left"/>
              <w:textAlignment w:val="center"/>
              <w:rPr>
                <w:rFonts w:hint="default" w:ascii="Times New Roman" w:hAnsi="Times New Roman" w:cs="Times New Roman"/>
                <w:sz w:val="20"/>
                <w:szCs w:val="20"/>
              </w:rPr>
            </w:pPr>
            <w:r>
              <w:rPr>
                <w:rFonts w:hint="default" w:ascii="Times New Roman" w:hAnsi="Times New Roman" w:cs="Times New Roman"/>
                <w:sz w:val="20"/>
                <w:szCs w:val="20"/>
              </w:rPr>
              <w:t>control study</w:t>
            </w:r>
          </w:p>
        </w:tc>
        <w:tc>
          <w:tcPr>
            <w:tcW w:w="1584" w:type="dxa"/>
            <w:tcBorders>
              <w:top w:val="nil"/>
              <w:left w:val="nil"/>
              <w:bottom w:val="single" w:color="auto" w:sz="4" w:space="0"/>
              <w:right w:val="nil"/>
            </w:tcBorders>
            <w:vAlign w:val="center"/>
          </w:tcPr>
          <w:p>
            <w:pPr>
              <w:widowControl w:val="0"/>
              <w:numPr>
                <w:ilvl w:val="0"/>
                <w:numId w:val="0"/>
              </w:numPr>
              <w:ind w:left="0" w:leftChars="0" w:firstLine="0" w:firstLineChars="0"/>
              <w:rPr>
                <w:rFonts w:hint="default" w:ascii="Times New Roman" w:hAnsi="Times New Roman" w:cs="Times New Roman"/>
                <w:sz w:val="20"/>
                <w:szCs w:val="20"/>
              </w:rPr>
            </w:pPr>
            <w:r>
              <w:rPr>
                <w:rFonts w:hint="default" w:ascii="Times New Roman" w:hAnsi="Times New Roman" w:cs="Times New Roman"/>
                <w:sz w:val="20"/>
                <w:szCs w:val="20"/>
                <w:lang w:val="en-US" w:eastAsia="zh-CN"/>
              </w:rPr>
              <w:t>NA</w:t>
            </w:r>
          </w:p>
        </w:tc>
        <w:tc>
          <w:tcPr>
            <w:tcW w:w="1722" w:type="dxa"/>
            <w:tcBorders>
              <w:top w:val="nil"/>
              <w:left w:val="nil"/>
              <w:bottom w:val="single" w:color="auto" w:sz="4" w:space="0"/>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NA</w:t>
            </w:r>
          </w:p>
        </w:tc>
        <w:tc>
          <w:tcPr>
            <w:tcW w:w="1695" w:type="dxa"/>
            <w:tcBorders>
              <w:top w:val="nil"/>
              <w:left w:val="nil"/>
              <w:bottom w:val="single" w:color="auto" w:sz="4" w:space="0"/>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NA</w:t>
            </w:r>
          </w:p>
        </w:tc>
        <w:tc>
          <w:tcPr>
            <w:tcW w:w="1420" w:type="dxa"/>
            <w:tcBorders>
              <w:top w:val="nil"/>
              <w:left w:val="nil"/>
              <w:bottom w:val="single" w:color="auto" w:sz="4" w:space="0"/>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4100" w:type="dxa"/>
            <w:tcBorders>
              <w:top w:val="nil"/>
              <w:left w:val="nil"/>
              <w:bottom w:val="single" w:color="auto" w:sz="4" w:space="0"/>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N=37</w:t>
            </w:r>
          </w:p>
          <w:p>
            <w:pPr>
              <w:widowControl w:val="0"/>
              <w:numPr>
                <w:ilvl w:val="0"/>
                <w:numId w:val="0"/>
              </w:numPr>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rPr>
              <w:t>1. Confirm diagnosis*</w:t>
            </w:r>
          </w:p>
          <w:p>
            <w:pPr>
              <w:widowControl w:val="0"/>
              <w:numPr>
                <w:ilvl w:val="0"/>
                <w:numId w:val="0"/>
              </w:numPr>
              <w:ind w:leftChars="0"/>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2. </w:t>
            </w:r>
            <w:r>
              <w:rPr>
                <w:rFonts w:hint="default" w:ascii="Times New Roman" w:hAnsi="Times New Roman" w:cs="Times New Roman"/>
                <w:sz w:val="20"/>
                <w:szCs w:val="20"/>
              </w:rPr>
              <w:t>Clinical diagnosis§</w:t>
            </w:r>
          </w:p>
        </w:tc>
        <w:tc>
          <w:tcPr>
            <w:tcW w:w="3385" w:type="dxa"/>
            <w:gridSpan w:val="2"/>
            <w:tcBorders>
              <w:top w:val="nil"/>
              <w:left w:val="nil"/>
              <w:bottom w:val="single" w:color="auto" w:sz="4" w:space="0"/>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rPr>
              <w:t>local infection</w:t>
            </w:r>
            <w:r>
              <w:rPr>
                <w:rFonts w:hint="default" w:ascii="Times New Roman" w:hAnsi="Times New Roman" w:cs="Times New Roman"/>
                <w:sz w:val="20"/>
                <w:szCs w:val="20"/>
                <w:lang w:val="en-US" w:eastAsia="zh-CN"/>
              </w:rPr>
              <w:t>: n=52</w:t>
            </w:r>
          </w:p>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Healthy newborn</w:t>
            </w:r>
            <w:r>
              <w:rPr>
                <w:rFonts w:hint="default" w:ascii="Times New Roman" w:hAnsi="Times New Roman" w:cs="Times New Roman"/>
                <w:sz w:val="20"/>
                <w:szCs w:val="20"/>
                <w:lang w:val="en-US" w:eastAsia="zh-CN"/>
              </w:rPr>
              <w:t>:n=30</w:t>
            </w:r>
            <w:r>
              <w:rPr>
                <w:rFonts w:hint="default" w:ascii="Times New Roman" w:hAnsi="Times New Roman" w:cs="Times New Roman"/>
                <w:sz w:val="20"/>
                <w:szCs w:val="20"/>
              </w:rPr>
              <w:t xml:space="preserve">  </w:t>
            </w:r>
          </w:p>
        </w:tc>
      </w:tr>
    </w:tbl>
    <w:p>
      <w:pPr>
        <w:widowControl w:val="0"/>
        <w:numPr>
          <w:ilvl w:val="0"/>
          <w:numId w:val="0"/>
        </w:numPr>
        <w:jc w:val="both"/>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C</w:t>
      </w:r>
      <w:r>
        <w:rPr>
          <w:rFonts w:hint="default" w:ascii="Times New Roman" w:hAnsi="Times New Roman" w:cs="Times New Roman"/>
          <w:sz w:val="20"/>
          <w:szCs w:val="20"/>
        </w:rPr>
        <w:t>linical manifestations and meet any of the following: (1) blood culture or sterile body cavity culture of pathogens; (2) if the blood culture specimens cultivate pathogens, then must be with another (The same species of bacteria is cultured in blood, or in a sterile body lumen, or in a catheter tip</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w:t>
      </w:r>
    </w:p>
    <w:p>
      <w:pPr>
        <w:widowControl w:val="0"/>
        <w:numPr>
          <w:ilvl w:val="0"/>
          <w:numId w:val="0"/>
        </w:numPr>
        <w:jc w:val="both"/>
        <w:rPr>
          <w:rFonts w:hint="default" w:ascii="Times New Roman" w:hAnsi="Times New Roman" w:cs="Times New Roman"/>
          <w:sz w:val="20"/>
          <w:szCs w:val="20"/>
        </w:rPr>
      </w:pPr>
      <w:r>
        <w:rPr>
          <w:rFonts w:hint="default" w:ascii="Times New Roman" w:hAnsi="Times New Roman" w:cs="Times New Roman"/>
          <w:sz w:val="20"/>
          <w:szCs w:val="20"/>
        </w:rPr>
        <w:t xml:space="preserve">§clinical manifestations and any of the following: </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rPr>
        <w:t xml:space="preserve">non-specific examination ≥ 2. (2) </w:t>
      </w:r>
      <w:r>
        <w:rPr>
          <w:rFonts w:hint="default" w:ascii="Times New Roman" w:hAnsi="Times New Roman" w:cs="Times New Roman"/>
          <w:sz w:val="20"/>
          <w:szCs w:val="20"/>
          <w:lang w:val="en-US" w:eastAsia="zh-CN"/>
        </w:rPr>
        <w:t>p</w:t>
      </w:r>
      <w:r>
        <w:rPr>
          <w:rFonts w:hint="default" w:ascii="Times New Roman" w:hAnsi="Times New Roman" w:cs="Times New Roman"/>
          <w:sz w:val="20"/>
          <w:szCs w:val="20"/>
        </w:rPr>
        <w:t>ositive blood test antigen or DNA test</w:t>
      </w:r>
    </w:p>
    <w:p>
      <w:pPr>
        <w:rPr>
          <w:rFonts w:hint="default" w:ascii="Times New Roman" w:hAnsi="Times New Roman" w:cs="Times New Roman"/>
          <w:sz w:val="20"/>
          <w:szCs w:val="20"/>
        </w:rPr>
      </w:pPr>
    </w:p>
    <w:p>
      <w:pPr>
        <w:rPr>
          <w:rFonts w:hint="default" w:ascii="Times New Roman" w:hAnsi="Times New Roman" w:cs="Times New Roman"/>
          <w:sz w:val="20"/>
          <w:szCs w:val="20"/>
        </w:rPr>
      </w:pPr>
    </w:p>
    <w:p>
      <w:pPr>
        <w:rPr>
          <w:rFonts w:hint="default" w:ascii="Times New Roman" w:hAnsi="Times New Roman" w:cs="Times New Roman"/>
          <w:sz w:val="20"/>
          <w:szCs w:val="20"/>
        </w:rPr>
      </w:pPr>
    </w:p>
    <w:p>
      <w:pPr>
        <w:rPr>
          <w:rFonts w:hint="default" w:ascii="Times New Roman" w:hAnsi="Times New Roman" w:cs="Times New Roman"/>
          <w:sz w:val="20"/>
          <w:szCs w:val="20"/>
        </w:rPr>
      </w:pPr>
    </w:p>
    <w:p>
      <w:pPr>
        <w:rPr>
          <w:rFonts w:hint="default" w:ascii="Times New Roman" w:hAnsi="Times New Roman" w:cs="Times New Roman"/>
          <w:sz w:val="20"/>
          <w:szCs w:val="20"/>
        </w:rPr>
      </w:pPr>
    </w:p>
    <w:p>
      <w:pPr>
        <w:rPr>
          <w:rFonts w:hint="default" w:ascii="Times New Roman" w:hAnsi="Times New Roman" w:cs="Times New Roman"/>
          <w:sz w:val="20"/>
          <w:szCs w:val="20"/>
        </w:rPr>
      </w:pPr>
    </w:p>
    <w:p>
      <w:pPr>
        <w:rPr>
          <w:rFonts w:hint="default" w:ascii="Times New Roman" w:hAnsi="Times New Roman" w:cs="Times New Roman"/>
          <w:sz w:val="20"/>
          <w:szCs w:val="20"/>
        </w:rPr>
      </w:pPr>
    </w:p>
    <w:p>
      <w:pPr>
        <w:rPr>
          <w:rFonts w:hint="default" w:ascii="Times New Roman" w:hAnsi="Times New Roman" w:cs="Times New Roman"/>
          <w:b/>
          <w:bCs/>
          <w:sz w:val="20"/>
          <w:szCs w:val="20"/>
        </w:rPr>
      </w:pPr>
    </w:p>
    <w:p>
      <w:pPr>
        <w:rPr>
          <w:rFonts w:hint="default" w:ascii="Times New Roman" w:hAnsi="Times New Roman" w:cs="Times New Roman"/>
          <w:b/>
          <w:bCs/>
          <w:sz w:val="20"/>
          <w:szCs w:val="20"/>
        </w:rPr>
      </w:pPr>
    </w:p>
    <w:p>
      <w:pPr>
        <w:rPr>
          <w:rFonts w:hint="default" w:ascii="Times New Roman" w:hAnsi="Times New Roman" w:cs="Times New Roman"/>
          <w:b/>
          <w:bCs/>
          <w:sz w:val="20"/>
          <w:szCs w:val="20"/>
        </w:rPr>
      </w:pPr>
    </w:p>
    <w:p>
      <w:pPr>
        <w:rPr>
          <w:rFonts w:hint="default" w:ascii="Times New Roman" w:hAnsi="Times New Roman" w:cs="Times New Roman"/>
          <w:b/>
          <w:bCs/>
          <w:sz w:val="20"/>
          <w:szCs w:val="20"/>
        </w:rPr>
      </w:pPr>
      <w:bookmarkStart w:id="0" w:name="_GoBack"/>
      <w:bookmarkEnd w:id="0"/>
      <w:r>
        <w:rPr>
          <w:rFonts w:hint="default" w:ascii="Times New Roman" w:hAnsi="Times New Roman" w:cs="Times New Roman"/>
          <w:b/>
          <w:bCs/>
          <w:sz w:val="20"/>
          <w:szCs w:val="20"/>
        </w:rPr>
        <w:t xml:space="preserve">Table </w:t>
      </w:r>
      <w:r>
        <w:rPr>
          <w:rFonts w:hint="default" w:ascii="Times New Roman" w:hAnsi="Times New Roman" w:cs="Times New Roman"/>
          <w:b/>
          <w:bCs/>
          <w:sz w:val="20"/>
          <w:szCs w:val="20"/>
          <w:lang w:val="en-US" w:eastAsia="zh-CN"/>
        </w:rPr>
        <w:t>2</w:t>
      </w:r>
      <w:r>
        <w:rPr>
          <w:rFonts w:hint="default" w:ascii="Times New Roman" w:hAnsi="Times New Roman" w:cs="Times New Roman"/>
          <w:b/>
          <w:bCs/>
          <w:sz w:val="20"/>
          <w:szCs w:val="20"/>
        </w:rPr>
        <w:t xml:space="preserve"> continued</w:t>
      </w:r>
    </w:p>
    <w:tbl>
      <w:tblPr>
        <w:tblStyle w:val="5"/>
        <w:tblW w:w="21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1552"/>
        <w:gridCol w:w="1365"/>
        <w:gridCol w:w="2304"/>
        <w:gridCol w:w="1186"/>
        <w:gridCol w:w="2550"/>
        <w:gridCol w:w="1650"/>
        <w:gridCol w:w="1035"/>
        <w:gridCol w:w="4100"/>
        <w:gridCol w:w="3384"/>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07" w:hRule="atLeast"/>
        </w:trPr>
        <w:tc>
          <w:tcPr>
            <w:tcW w:w="1930"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Author, </w:t>
            </w:r>
          </w:p>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publication</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year</w:t>
            </w:r>
          </w:p>
        </w:tc>
        <w:tc>
          <w:tcPr>
            <w:tcW w:w="1552"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Country</w:t>
            </w:r>
            <w:r>
              <w:rPr>
                <w:rFonts w:hint="default" w:ascii="Times New Roman" w:hAnsi="Times New Roman" w:cs="Times New Roman"/>
                <w:b/>
                <w:bCs/>
                <w:sz w:val="20"/>
                <w:szCs w:val="20"/>
                <w:lang w:val="en-US" w:eastAsia="zh-CN"/>
              </w:rPr>
              <w:t>, Region</w:t>
            </w:r>
          </w:p>
        </w:tc>
        <w:tc>
          <w:tcPr>
            <w:tcW w:w="1365"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Study period</w:t>
            </w:r>
          </w:p>
        </w:tc>
        <w:tc>
          <w:tcPr>
            <w:tcW w:w="2304"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Study design</w:t>
            </w:r>
          </w:p>
        </w:tc>
        <w:tc>
          <w:tcPr>
            <w:tcW w:w="5386" w:type="dxa"/>
            <w:gridSpan w:val="3"/>
            <w:tcBorders>
              <w:left w:val="nil"/>
              <w:right w:val="nil"/>
            </w:tcBorders>
            <w:vAlign w:val="center"/>
          </w:tcPr>
          <w:p>
            <w:pPr>
              <w:widowControl w:val="0"/>
              <w:ind w:firstLine="1405" w:firstLineChars="700"/>
              <w:rPr>
                <w:rFonts w:hint="default" w:ascii="Times New Roman" w:hAnsi="Times New Roman" w:cs="Times New Roman"/>
                <w:b/>
                <w:bCs/>
                <w:sz w:val="20"/>
                <w:szCs w:val="20"/>
              </w:rPr>
            </w:pPr>
            <w:r>
              <w:rPr>
                <w:rFonts w:hint="default" w:ascii="Times New Roman" w:hAnsi="Times New Roman" w:cs="Times New Roman"/>
                <w:b/>
                <w:bCs/>
                <w:sz w:val="20"/>
                <w:szCs w:val="20"/>
              </w:rPr>
              <w:t>Study population</w:t>
            </w:r>
          </w:p>
        </w:tc>
        <w:tc>
          <w:tcPr>
            <w:tcW w:w="1035" w:type="dxa"/>
            <w:vMerge w:val="restart"/>
            <w:tcBorders>
              <w:left w:val="nil"/>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Sepsis onset</w:t>
            </w:r>
          </w:p>
        </w:tc>
        <w:tc>
          <w:tcPr>
            <w:tcW w:w="7484" w:type="dxa"/>
            <w:gridSpan w:val="2"/>
            <w:tcBorders>
              <w:left w:val="nil"/>
              <w:bottom w:val="single" w:color="auto" w:sz="4" w:space="0"/>
              <w:right w:val="nil"/>
            </w:tcBorders>
            <w:vAlign w:val="center"/>
          </w:tcPr>
          <w:p>
            <w:pPr>
              <w:widowControl w:val="0"/>
              <w:ind w:firstLine="1606" w:firstLineChars="800"/>
              <w:rPr>
                <w:rFonts w:hint="default" w:ascii="Times New Roman" w:hAnsi="Times New Roman" w:cs="Times New Roman"/>
                <w:b/>
                <w:bCs/>
                <w:sz w:val="20"/>
                <w:szCs w:val="20"/>
              </w:rPr>
            </w:pPr>
            <w:r>
              <w:rPr>
                <w:rFonts w:hint="default" w:ascii="Times New Roman" w:hAnsi="Times New Roman" w:cs="Times New Roman"/>
                <w:b/>
                <w:bCs/>
                <w:sz w:val="20"/>
                <w:szCs w:val="20"/>
              </w:rPr>
              <w:t>Characteristics and number of patients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930"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1552"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1365"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2304"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1186" w:type="dxa"/>
            <w:tcBorders>
              <w:left w:val="nil"/>
              <w:bottom w:val="single" w:color="auto" w:sz="4" w:space="0"/>
              <w:right w:val="nil"/>
            </w:tcBorders>
            <w:vAlign w:val="center"/>
          </w:tcPr>
          <w:p>
            <w:pPr>
              <w:widowControl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(day)</w:t>
            </w:r>
          </w:p>
          <w:p>
            <w:pPr>
              <w:widowControl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(sep/Non-sep)</w:t>
            </w:r>
          </w:p>
        </w:tc>
        <w:tc>
          <w:tcPr>
            <w:tcW w:w="2550" w:type="dxa"/>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Gestational</w:t>
            </w:r>
          </w:p>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age</w:t>
            </w:r>
            <w:r>
              <w:rPr>
                <w:rFonts w:hint="default" w:ascii="Times New Roman" w:hAnsi="Times New Roman" w:cs="Times New Roman"/>
                <w:b/>
                <w:bCs/>
                <w:sz w:val="20"/>
                <w:szCs w:val="20"/>
                <w:lang w:val="en-US" w:eastAsia="zh-CN"/>
              </w:rPr>
              <w:t>(sep/Non-sep)</w:t>
            </w:r>
            <w:r>
              <w:rPr>
                <w:rFonts w:hint="default" w:ascii="Times New Roman" w:hAnsi="Times New Roman" w:cs="Times New Roman"/>
                <w:b/>
                <w:bCs/>
                <w:sz w:val="20"/>
                <w:szCs w:val="20"/>
              </w:rPr>
              <w:t>(weeks)</w:t>
            </w:r>
          </w:p>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(mean ± SD)</w:t>
            </w:r>
          </w:p>
        </w:tc>
        <w:tc>
          <w:tcPr>
            <w:tcW w:w="1650" w:type="dxa"/>
            <w:tcBorders>
              <w:left w:val="nil"/>
              <w:bottom w:val="single" w:color="auto" w:sz="4" w:space="0"/>
              <w:right w:val="nil"/>
            </w:tcBorders>
            <w:vAlign w:val="center"/>
          </w:tcPr>
          <w:p>
            <w:pPr>
              <w:widowControl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Weight</w:t>
            </w:r>
            <w:r>
              <w:rPr>
                <w:rFonts w:hint="default" w:ascii="Times New Roman" w:hAnsi="Times New Roman" w:cs="Times New Roman"/>
                <w:b/>
                <w:bCs/>
                <w:sz w:val="20"/>
                <w:szCs w:val="20"/>
                <w:lang w:val="en-US" w:eastAsia="zh-CN"/>
              </w:rPr>
              <w:t>(sep/</w:t>
            </w:r>
          </w:p>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lang w:val="en-US" w:eastAsia="zh-CN"/>
              </w:rPr>
              <w:t xml:space="preserve">Non-sep)  </w:t>
            </w:r>
            <w:r>
              <w:rPr>
                <w:rFonts w:hint="default" w:ascii="Times New Roman" w:hAnsi="Times New Roman" w:cs="Times New Roman"/>
                <w:b/>
                <w:bCs/>
                <w:sz w:val="20"/>
                <w:szCs w:val="20"/>
              </w:rPr>
              <w:t>(mean ± SD, g)</w:t>
            </w:r>
          </w:p>
        </w:tc>
        <w:tc>
          <w:tcPr>
            <w:tcW w:w="1035" w:type="dxa"/>
            <w:vMerge w:val="continue"/>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p>
        </w:tc>
        <w:tc>
          <w:tcPr>
            <w:tcW w:w="4100" w:type="dxa"/>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Septic group</w:t>
            </w:r>
          </w:p>
        </w:tc>
        <w:tc>
          <w:tcPr>
            <w:tcW w:w="3385" w:type="dxa"/>
            <w:gridSpan w:val="2"/>
            <w:tcBorders>
              <w:left w:val="nil"/>
              <w:bottom w:val="single" w:color="auto" w:sz="4" w:space="0"/>
              <w:right w:val="nil"/>
            </w:tcBorders>
            <w:vAlign w:val="center"/>
          </w:tcPr>
          <w:p>
            <w:pPr>
              <w:widowControl w:val="0"/>
              <w:rPr>
                <w:rFonts w:hint="default" w:ascii="Times New Roman" w:hAnsi="Times New Roman" w:cs="Times New Roman"/>
                <w:b/>
                <w:bCs/>
                <w:sz w:val="20"/>
                <w:szCs w:val="20"/>
              </w:rPr>
            </w:pPr>
            <w:r>
              <w:rPr>
                <w:rFonts w:hint="default" w:ascii="Times New Roman" w:hAnsi="Times New Roman" w:cs="Times New Roman"/>
                <w:b/>
                <w:bCs/>
                <w:sz w:val="20"/>
                <w:szCs w:val="20"/>
              </w:rPr>
              <w:t>Non-septic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5" w:hRule="atLeast"/>
        </w:trPr>
        <w:tc>
          <w:tcPr>
            <w:tcW w:w="1930" w:type="dxa"/>
            <w:tcBorders>
              <w:top w:val="single" w:color="auto" w:sz="4" w:space="0"/>
              <w:left w:val="nil"/>
              <w:bottom w:val="nil"/>
              <w:right w:val="nil"/>
            </w:tcBorders>
            <w:vAlign w:val="top"/>
          </w:tcPr>
          <w:p>
            <w:pPr>
              <w:widowControl w:val="0"/>
              <w:spacing w:beforeLines="0" w:afterLines="0"/>
              <w:jc w:val="left"/>
              <w:rPr>
                <w:rFonts w:hint="default" w:ascii="Times New Roman" w:hAnsi="Times New Roman" w:cs="Times New Roman"/>
                <w:sz w:val="20"/>
                <w:szCs w:val="20"/>
                <w:lang w:val="en-US"/>
              </w:rPr>
            </w:pPr>
            <w:r>
              <w:rPr>
                <w:rFonts w:hint="default" w:ascii="Times New Roman" w:hAnsi="Times New Roman" w:eastAsia="Times New Roman" w:cs="Times New Roman"/>
                <w:color w:val="000000"/>
                <w:sz w:val="20"/>
                <w:szCs w:val="20"/>
              </w:rPr>
              <w:t>Chiara Poggi</w:t>
            </w:r>
            <w:r>
              <w:rPr>
                <w:rFonts w:hint="default" w:ascii="Times New Roman" w:hAnsi="Times New Roman" w:eastAsia="宋体" w:cs="Times New Roman"/>
                <w:color w:val="000000"/>
                <w:sz w:val="20"/>
                <w:szCs w:val="20"/>
                <w:lang w:val="en-US" w:eastAsia="zh-CN"/>
              </w:rPr>
              <w:t xml:space="preserve"> et al,2015</w:t>
            </w:r>
            <w:r>
              <w:rPr>
                <w:rFonts w:hint="eastAsia" w:cs="Times New Roman"/>
                <w:color w:val="000000"/>
                <w:sz w:val="20"/>
                <w:szCs w:val="20"/>
                <w:lang w:val="en-US" w:eastAsia="zh-CN"/>
              </w:rPr>
              <w:t xml:space="preserve"> [35]</w:t>
            </w:r>
          </w:p>
        </w:tc>
        <w:tc>
          <w:tcPr>
            <w:tcW w:w="1552" w:type="dxa"/>
            <w:tcBorders>
              <w:top w:val="single" w:color="auto" w:sz="4" w:space="0"/>
              <w:left w:val="nil"/>
              <w:bottom w:val="nil"/>
              <w:right w:val="nil"/>
            </w:tcBorders>
            <w:vAlign w:val="top"/>
          </w:tcPr>
          <w:p>
            <w:pPr>
              <w:widowControl w:val="0"/>
              <w:spacing w:beforeLines="0" w:afterLines="0"/>
              <w:jc w:val="left"/>
              <w:rPr>
                <w:rFonts w:hint="default" w:ascii="Times New Roman" w:hAnsi="Times New Roman" w:eastAsia="宋体" w:cs="Times New Roman"/>
                <w:sz w:val="20"/>
                <w:szCs w:val="20"/>
                <w:lang w:val="en-US" w:eastAsia="zh-CN"/>
              </w:rPr>
            </w:pPr>
            <w:r>
              <w:rPr>
                <w:rFonts w:hint="default" w:ascii="Times New Roman" w:hAnsi="Times New Roman" w:eastAsia="Times New Roman" w:cs="Times New Roman"/>
                <w:color w:val="000000"/>
                <w:sz w:val="20"/>
                <w:szCs w:val="20"/>
              </w:rPr>
              <w:t>Europe</w:t>
            </w:r>
          </w:p>
        </w:tc>
        <w:tc>
          <w:tcPr>
            <w:tcW w:w="1365" w:type="dxa"/>
            <w:tcBorders>
              <w:top w:val="single" w:color="auto" w:sz="4" w:space="0"/>
              <w:left w:val="nil"/>
              <w:bottom w:val="nil"/>
              <w:right w:val="nil"/>
            </w:tcBorders>
            <w:vAlign w:val="top"/>
          </w:tcPr>
          <w:p>
            <w:pPr>
              <w:widowControl w:val="0"/>
              <w:spacing w:beforeLines="0" w:afterLines="0"/>
              <w:jc w:val="lef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May 2013 to April 2014</w:t>
            </w:r>
          </w:p>
        </w:tc>
        <w:tc>
          <w:tcPr>
            <w:tcW w:w="2304" w:type="dxa"/>
            <w:tcBorders>
              <w:top w:val="single" w:color="auto" w:sz="4" w:space="0"/>
              <w:left w:val="nil"/>
              <w:bottom w:val="nil"/>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Cohort</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study</w:t>
            </w:r>
          </w:p>
        </w:tc>
        <w:tc>
          <w:tcPr>
            <w:tcW w:w="1186" w:type="dxa"/>
            <w:tcBorders>
              <w:top w:val="single" w:color="auto" w:sz="4" w:space="0"/>
              <w:left w:val="nil"/>
              <w:bottom w:val="nil"/>
              <w:right w:val="nil"/>
            </w:tcBorders>
            <w:vAlign w:val="center"/>
          </w:tcPr>
          <w:p>
            <w:pPr>
              <w:widowControl w:val="0"/>
              <w:numPr>
                <w:ilvl w:val="0"/>
                <w:numId w:val="0"/>
              </w:numPr>
              <w:ind w:left="0" w:leftChars="0" w:firstLine="0" w:firstLineChars="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25±19</w:t>
            </w:r>
            <w:r>
              <w:rPr>
                <w:rFonts w:hint="default" w:ascii="Times New Roman" w:hAnsi="Times New Roman" w:cs="Times New Roman"/>
                <w:sz w:val="20"/>
                <w:szCs w:val="20"/>
                <w:lang w:val="en-US" w:eastAsia="zh-CN"/>
              </w:rPr>
              <w:t>/28</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eastAsia="zh-CN"/>
              </w:rPr>
              <w:t>19</w:t>
            </w:r>
          </w:p>
        </w:tc>
        <w:tc>
          <w:tcPr>
            <w:tcW w:w="2550" w:type="dxa"/>
            <w:tcBorders>
              <w:top w:val="single" w:color="auto" w:sz="4" w:space="0"/>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25.6±2.0</w:t>
            </w:r>
            <w:r>
              <w:rPr>
                <w:rFonts w:hint="default" w:ascii="Times New Roman" w:hAnsi="Times New Roman" w:cs="Times New Roman"/>
                <w:sz w:val="20"/>
                <w:szCs w:val="20"/>
                <w:lang w:val="en-US" w:eastAsia="zh-CN"/>
              </w:rPr>
              <w:t>/28.8</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eastAsia="zh-CN"/>
              </w:rPr>
              <w:t>2.0</w:t>
            </w:r>
          </w:p>
        </w:tc>
        <w:tc>
          <w:tcPr>
            <w:tcW w:w="1650" w:type="dxa"/>
            <w:tcBorders>
              <w:top w:val="single" w:color="auto" w:sz="4" w:space="0"/>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684±215</w:t>
            </w:r>
            <w:r>
              <w:rPr>
                <w:rFonts w:hint="default" w:ascii="Times New Roman" w:hAnsi="Times New Roman" w:cs="Times New Roman"/>
                <w:sz w:val="20"/>
                <w:szCs w:val="20"/>
                <w:lang w:val="en-US" w:eastAsia="zh-CN"/>
              </w:rPr>
              <w:t>/1021± 233</w:t>
            </w:r>
          </w:p>
        </w:tc>
        <w:tc>
          <w:tcPr>
            <w:tcW w:w="1035" w:type="dxa"/>
            <w:tcBorders>
              <w:top w:val="single" w:color="auto" w:sz="4" w:space="0"/>
              <w:left w:val="nil"/>
              <w:bottom w:val="nil"/>
              <w:right w:val="nil"/>
            </w:tcBorders>
            <w:vAlign w:val="top"/>
          </w:tcPr>
          <w:p>
            <w:pPr>
              <w:widowControl w:val="0"/>
              <w:spacing w:beforeLines="0" w:afterLines="0"/>
              <w:jc w:val="left"/>
              <w:rPr>
                <w:rFonts w:hint="default" w:ascii="Times New Roman" w:hAnsi="Times New Roman" w:eastAsia="宋体" w:cs="Times New Roman"/>
                <w:sz w:val="20"/>
                <w:szCs w:val="20"/>
                <w:lang w:val="en-US" w:eastAsia="zh-CN"/>
              </w:rPr>
            </w:pPr>
            <w:r>
              <w:rPr>
                <w:rFonts w:hint="default" w:ascii="Times New Roman" w:hAnsi="Times New Roman" w:eastAsia="Times New Roman" w:cs="Times New Roman"/>
                <w:color w:val="000000"/>
                <w:sz w:val="20"/>
                <w:szCs w:val="20"/>
              </w:rPr>
              <w:t>LOS</w:t>
            </w:r>
            <w:r>
              <w:rPr>
                <w:rFonts w:hint="default" w:ascii="Times New Roman" w:hAnsi="Times New Roman" w:eastAsia="宋体" w:cs="Times New Roman"/>
                <w:color w:val="000000"/>
                <w:sz w:val="20"/>
                <w:szCs w:val="20"/>
                <w:lang w:val="en-US" w:eastAsia="zh-CN"/>
              </w:rPr>
              <w:t>:19</w:t>
            </w:r>
          </w:p>
        </w:tc>
        <w:tc>
          <w:tcPr>
            <w:tcW w:w="4100" w:type="dxa"/>
            <w:tcBorders>
              <w:top w:val="single" w:color="auto" w:sz="4" w:space="0"/>
              <w:left w:val="nil"/>
              <w:bottom w:val="nil"/>
              <w:right w:val="nil"/>
            </w:tcBorders>
            <w:vAlign w:val="center"/>
          </w:tcPr>
          <w:p>
            <w:pPr>
              <w:widowControl w:val="0"/>
              <w:numPr>
                <w:ilvl w:val="0"/>
                <w:numId w:val="0"/>
              </w:numPr>
              <w:ind w:leftChars="0"/>
              <w:jc w:val="both"/>
              <w:rPr>
                <w:rFonts w:hint="default" w:ascii="Times New Roman" w:hAnsi="Times New Roman" w:cs="Times New Roman"/>
                <w:sz w:val="20"/>
                <w:szCs w:val="20"/>
              </w:rPr>
            </w:pPr>
            <w:r>
              <w:rPr>
                <w:rFonts w:hint="default" w:ascii="Times New Roman" w:hAnsi="Times New Roman" w:cs="Times New Roman"/>
                <w:sz w:val="20"/>
                <w:szCs w:val="20"/>
              </w:rPr>
              <w:t>Infants who developed possible LOS</w:t>
            </w:r>
          </w:p>
          <w:p>
            <w:pPr>
              <w:widowControl w:val="0"/>
              <w:numPr>
                <w:ilvl w:val="0"/>
                <w:numId w:val="0"/>
              </w:numPr>
              <w:ind w:leftChars="0"/>
              <w:jc w:val="both"/>
              <w:rPr>
                <w:rFonts w:hint="default" w:ascii="Times New Roman" w:hAnsi="Times New Roman" w:cs="Times New Roman"/>
                <w:sz w:val="20"/>
                <w:szCs w:val="20"/>
              </w:rPr>
            </w:pPr>
            <w:r>
              <w:rPr>
                <w:rFonts w:hint="default" w:ascii="Times New Roman" w:hAnsi="Times New Roman" w:cs="Times New Roman"/>
                <w:sz w:val="20"/>
                <w:szCs w:val="20"/>
              </w:rPr>
              <w:t>(LOS group)</w:t>
            </w:r>
          </w:p>
        </w:tc>
        <w:tc>
          <w:tcPr>
            <w:tcW w:w="3385" w:type="dxa"/>
            <w:gridSpan w:val="2"/>
            <w:tcBorders>
              <w:top w:val="single" w:color="auto" w:sz="4" w:space="0"/>
              <w:left w:val="nil"/>
              <w:bottom w:val="nil"/>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rPr>
              <w:t>the next infant born who did</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not develop signs and symptoms of</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infection and fulfilled the inclusion</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criteria was enrolled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6" w:hRule="atLeast"/>
        </w:trPr>
        <w:tc>
          <w:tcPr>
            <w:tcW w:w="1930" w:type="dxa"/>
            <w:tcBorders>
              <w:top w:val="nil"/>
              <w:left w:val="nil"/>
              <w:bottom w:val="nil"/>
              <w:right w:val="nil"/>
            </w:tcBorders>
            <w:vAlign w:val="top"/>
          </w:tcPr>
          <w:p>
            <w:pPr>
              <w:widowControl w:val="0"/>
              <w:spacing w:beforeLines="0" w:afterLines="0"/>
              <w:jc w:val="left"/>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eastAsia="Times New Roman" w:cs="Times New Roman"/>
                <w:color w:val="000000"/>
                <w:sz w:val="20"/>
                <w:szCs w:val="20"/>
              </w:rPr>
              <w:t>Montaldo</w:t>
            </w:r>
            <w:r>
              <w:rPr>
                <w:rFonts w:hint="default" w:ascii="Times New Roman" w:hAnsi="Times New Roman" w:eastAsia="宋体" w:cs="Times New Roman"/>
                <w:color w:val="000000"/>
                <w:sz w:val="20"/>
                <w:szCs w:val="20"/>
                <w:lang w:val="en-US" w:eastAsia="zh-CN"/>
              </w:rPr>
              <w:t xml:space="preserve"> et al,2017</w:t>
            </w:r>
            <w:r>
              <w:rPr>
                <w:rFonts w:hint="eastAsia" w:cs="Times New Roman"/>
                <w:color w:val="000000"/>
                <w:sz w:val="20"/>
                <w:szCs w:val="20"/>
                <w:lang w:val="en-US" w:eastAsia="zh-CN"/>
              </w:rPr>
              <w:t xml:space="preserve"> [36]</w:t>
            </w:r>
          </w:p>
        </w:tc>
        <w:tc>
          <w:tcPr>
            <w:tcW w:w="1552" w:type="dxa"/>
            <w:tcBorders>
              <w:top w:val="nil"/>
              <w:left w:val="nil"/>
              <w:bottom w:val="nil"/>
              <w:right w:val="nil"/>
            </w:tcBorders>
            <w:vAlign w:val="top"/>
          </w:tcPr>
          <w:p>
            <w:pPr>
              <w:widowControl w:val="0"/>
              <w:spacing w:beforeLines="0" w:afterLines="0"/>
              <w:jc w:val="left"/>
              <w:rPr>
                <w:rFonts w:hint="default" w:ascii="Times New Roman" w:hAnsi="Times New Roman" w:eastAsia="宋体" w:cs="Times New Roman"/>
                <w:sz w:val="20"/>
                <w:szCs w:val="20"/>
                <w:lang w:val="en-US" w:eastAsia="zh-CN"/>
              </w:rPr>
            </w:pPr>
            <w:r>
              <w:rPr>
                <w:rFonts w:hint="default" w:ascii="Times New Roman" w:hAnsi="Times New Roman" w:eastAsia="Times New Roman" w:cs="Times New Roman"/>
                <w:color w:val="000000"/>
                <w:sz w:val="20"/>
                <w:szCs w:val="20"/>
              </w:rPr>
              <w:t>Europe</w:t>
            </w:r>
          </w:p>
        </w:tc>
        <w:tc>
          <w:tcPr>
            <w:tcW w:w="1365" w:type="dxa"/>
            <w:tcBorders>
              <w:top w:val="nil"/>
              <w:left w:val="nil"/>
              <w:bottom w:val="nil"/>
              <w:right w:val="nil"/>
            </w:tcBorders>
            <w:vAlign w:val="top"/>
          </w:tcPr>
          <w:p>
            <w:pPr>
              <w:widowControl w:val="0"/>
              <w:spacing w:beforeLines="0" w:afterLines="0"/>
              <w:jc w:val="left"/>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January 2013 and</w:t>
            </w:r>
          </w:p>
          <w:p>
            <w:pPr>
              <w:widowControl w:val="0"/>
              <w:spacing w:beforeLines="0" w:afterLines="0"/>
              <w:jc w:val="left"/>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March 2016</w:t>
            </w:r>
          </w:p>
        </w:tc>
        <w:tc>
          <w:tcPr>
            <w:tcW w:w="2304" w:type="dxa"/>
            <w:tcBorders>
              <w:top w:val="nil"/>
              <w:left w:val="nil"/>
              <w:bottom w:val="nil"/>
              <w:right w:val="nil"/>
            </w:tcBorders>
            <w:vAlign w:val="top"/>
          </w:tcPr>
          <w:p>
            <w:pPr>
              <w:widowControl w:val="0"/>
              <w:spacing w:beforeLines="0" w:afterLines="0"/>
              <w:jc w:val="left"/>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Times New Roman" w:cs="Times New Roman"/>
                <w:color w:val="000000"/>
                <w:sz w:val="20"/>
                <w:szCs w:val="20"/>
              </w:rPr>
              <w:t>Case-control</w:t>
            </w:r>
          </w:p>
        </w:tc>
        <w:tc>
          <w:tcPr>
            <w:tcW w:w="1186"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255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29.9</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rPr>
              <w:t>1.1</w:t>
            </w:r>
            <w:r>
              <w:rPr>
                <w:rFonts w:hint="default" w:ascii="Times New Roman" w:hAnsi="Times New Roman" w:cs="Times New Roman"/>
                <w:sz w:val="20"/>
                <w:szCs w:val="20"/>
                <w:lang w:val="en-US" w:eastAsia="zh-CN"/>
              </w:rPr>
              <w:t xml:space="preserve">/30.2 </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eastAsia="zh-CN"/>
              </w:rPr>
              <w:t>1.4</w:t>
            </w:r>
          </w:p>
        </w:tc>
        <w:tc>
          <w:tcPr>
            <w:tcW w:w="165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1082</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rPr>
              <w:t>205</w:t>
            </w:r>
            <w:r>
              <w:rPr>
                <w:rFonts w:hint="default" w:ascii="Times New Roman" w:hAnsi="Times New Roman" w:cs="Times New Roman"/>
                <w:sz w:val="20"/>
                <w:szCs w:val="20"/>
                <w:lang w:val="en-US" w:eastAsia="zh-CN"/>
              </w:rPr>
              <w:t xml:space="preserve">/1102 </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eastAsia="zh-CN"/>
              </w:rPr>
              <w:t>192</w:t>
            </w:r>
          </w:p>
        </w:tc>
        <w:tc>
          <w:tcPr>
            <w:tcW w:w="1035" w:type="dxa"/>
            <w:tcBorders>
              <w:top w:val="nil"/>
              <w:left w:val="nil"/>
              <w:bottom w:val="nil"/>
              <w:right w:val="nil"/>
            </w:tcBorders>
            <w:vAlign w:val="top"/>
          </w:tcPr>
          <w:p>
            <w:pPr>
              <w:widowControl w:val="0"/>
              <w:spacing w:beforeLines="0" w:afterLines="0"/>
              <w:jc w:val="left"/>
              <w:rPr>
                <w:rFonts w:hint="default" w:ascii="Times New Roman" w:hAnsi="Times New Roman" w:eastAsia="宋体" w:cs="Times New Roman"/>
                <w:sz w:val="20"/>
                <w:szCs w:val="20"/>
                <w:lang w:val="en-US" w:eastAsia="zh-CN"/>
              </w:rPr>
            </w:pPr>
            <w:r>
              <w:rPr>
                <w:rFonts w:hint="default" w:ascii="Times New Roman" w:hAnsi="Times New Roman" w:eastAsia="Times New Roman" w:cs="Times New Roman"/>
                <w:color w:val="000000"/>
                <w:sz w:val="20"/>
                <w:szCs w:val="20"/>
              </w:rPr>
              <w:t>EOS</w:t>
            </w:r>
          </w:p>
        </w:tc>
        <w:tc>
          <w:tcPr>
            <w:tcW w:w="4100" w:type="dxa"/>
            <w:tcBorders>
              <w:top w:val="nil"/>
              <w:left w:val="nil"/>
              <w:bottom w:val="nil"/>
              <w:right w:val="nil"/>
            </w:tcBorders>
            <w:vAlign w:val="center"/>
          </w:tcPr>
          <w:p>
            <w:pPr>
              <w:widowControl w:val="0"/>
              <w:numPr>
                <w:ilvl w:val="0"/>
                <w:numId w:val="0"/>
              </w:numPr>
              <w:rPr>
                <w:rFonts w:hint="default" w:ascii="Times New Roman" w:hAnsi="Times New Roman" w:cs="Times New Roman"/>
                <w:sz w:val="20"/>
                <w:szCs w:val="20"/>
              </w:rPr>
            </w:pPr>
            <w:r>
              <w:rPr>
                <w:rFonts w:hint="default" w:ascii="Times New Roman" w:hAnsi="Times New Roman" w:cs="Times New Roman"/>
                <w:sz w:val="20"/>
                <w:szCs w:val="20"/>
              </w:rPr>
              <w:t>Proven sepsis was diagnosed in case of growth of a recognized pathogen</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in pure culture or</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in case of a mixed growth or growth of a skin</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commensal</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the acute onset of &gt;3 predefined clinical signs was considered</w:t>
            </w:r>
          </w:p>
        </w:tc>
        <w:tc>
          <w:tcPr>
            <w:tcW w:w="3385" w:type="dxa"/>
            <w:gridSpan w:val="2"/>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The uninfected group included those neonates who did not show</w:t>
            </w:r>
          </w:p>
          <w:p>
            <w:pPr>
              <w:widowControl w:val="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any clinical, radiographic, or laboratory findings attributable to</w:t>
            </w:r>
          </w:p>
          <w:p>
            <w:pPr>
              <w:widowControl w:val="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sepsis, or showed findings fully explained by another diagnosis.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trPr>
        <w:tc>
          <w:tcPr>
            <w:tcW w:w="1930" w:type="dxa"/>
            <w:tcBorders>
              <w:top w:val="nil"/>
              <w:left w:val="nil"/>
              <w:bottom w:val="nil"/>
              <w:right w:val="nil"/>
            </w:tcBorders>
            <w:vAlign w:val="top"/>
          </w:tcPr>
          <w:p>
            <w:pPr>
              <w:widowControl w:val="0"/>
              <w:spacing w:beforeLines="0" w:afterLines="0"/>
              <w:jc w:val="left"/>
              <w:rPr>
                <w:rFonts w:hint="default" w:ascii="Times New Roman" w:hAnsi="Times New Roman" w:cs="Times New Roman"/>
                <w:sz w:val="20"/>
                <w:szCs w:val="20"/>
                <w:lang w:val="en-US"/>
              </w:rPr>
            </w:pPr>
            <w:r>
              <w:rPr>
                <w:rFonts w:hint="default" w:ascii="Times New Roman" w:hAnsi="Times New Roman" w:eastAsia="Times New Roman" w:cs="Times New Roman"/>
                <w:color w:val="000000"/>
                <w:sz w:val="20"/>
                <w:szCs w:val="20"/>
              </w:rPr>
              <w:t>Jehan H Sabry</w:t>
            </w:r>
            <w:r>
              <w:rPr>
                <w:rFonts w:hint="default" w:ascii="Times New Roman" w:hAnsi="Times New Roman" w:eastAsia="宋体" w:cs="Times New Roman"/>
                <w:color w:val="000000"/>
                <w:sz w:val="20"/>
                <w:szCs w:val="20"/>
                <w:lang w:val="en-US" w:eastAsia="zh-CN"/>
              </w:rPr>
              <w:t xml:space="preserve"> et al,2016</w:t>
            </w:r>
            <w:r>
              <w:rPr>
                <w:rFonts w:hint="eastAsia" w:cs="Times New Roman"/>
                <w:color w:val="000000"/>
                <w:sz w:val="20"/>
                <w:szCs w:val="20"/>
                <w:lang w:val="en-US" w:eastAsia="zh-CN"/>
              </w:rPr>
              <w:t xml:space="preserve"> [37]</w:t>
            </w:r>
          </w:p>
        </w:tc>
        <w:tc>
          <w:tcPr>
            <w:tcW w:w="1552" w:type="dxa"/>
            <w:tcBorders>
              <w:top w:val="nil"/>
              <w:left w:val="nil"/>
              <w:bottom w:val="nil"/>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eastAsia="Times New Roman" w:cs="Times New Roman"/>
                <w:color w:val="000000"/>
                <w:sz w:val="20"/>
                <w:szCs w:val="20"/>
              </w:rPr>
              <w:t>Africa</w:t>
            </w:r>
          </w:p>
        </w:tc>
        <w:tc>
          <w:tcPr>
            <w:tcW w:w="1365" w:type="dxa"/>
            <w:tcBorders>
              <w:top w:val="nil"/>
              <w:left w:val="nil"/>
              <w:bottom w:val="nil"/>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cs="Times New Roman"/>
                <w:sz w:val="20"/>
                <w:szCs w:val="20"/>
              </w:rPr>
              <w:t xml:space="preserve">November 2015 to April 2016 </w:t>
            </w:r>
          </w:p>
        </w:tc>
        <w:tc>
          <w:tcPr>
            <w:tcW w:w="2304" w:type="dxa"/>
            <w:tcBorders>
              <w:top w:val="nil"/>
              <w:left w:val="nil"/>
              <w:bottom w:val="nil"/>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eastAsia="Times New Roman" w:cs="Times New Roman"/>
                <w:color w:val="000000"/>
                <w:sz w:val="20"/>
                <w:szCs w:val="20"/>
              </w:rPr>
              <w:t>Case-control</w:t>
            </w:r>
          </w:p>
        </w:tc>
        <w:tc>
          <w:tcPr>
            <w:tcW w:w="1186"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255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36.1±2.36</w:t>
            </w:r>
            <w:r>
              <w:rPr>
                <w:rFonts w:hint="default" w:ascii="Times New Roman" w:hAnsi="Times New Roman" w:cs="Times New Roman"/>
                <w:sz w:val="20"/>
                <w:szCs w:val="20"/>
                <w:lang w:val="en-US" w:eastAsia="zh-CN"/>
              </w:rPr>
              <w:t>/38.02±1.31</w:t>
            </w:r>
          </w:p>
        </w:tc>
        <w:tc>
          <w:tcPr>
            <w:tcW w:w="1650" w:type="dxa"/>
            <w:tcBorders>
              <w:top w:val="nil"/>
              <w:left w:val="nil"/>
              <w:bottom w:val="nil"/>
              <w:right w:val="nil"/>
            </w:tcBorders>
            <w:vAlign w:val="center"/>
          </w:tcPr>
          <w:p>
            <w:pPr>
              <w:keepNext w:val="0"/>
              <w:keepLines w:val="0"/>
              <w:widowControl/>
              <w:suppressLineNumbers w:val="0"/>
              <w:jc w:val="left"/>
              <w:textAlignment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259</w:t>
            </w:r>
            <w:r>
              <w:rPr>
                <w:rFonts w:hint="default" w:ascii="Times New Roman" w:hAnsi="Times New Roman" w:cs="Times New Roman"/>
                <w:sz w:val="20"/>
                <w:szCs w:val="20"/>
                <w:lang w:val="en-US" w:eastAsia="zh-CN"/>
              </w:rPr>
              <w:t>0</w:t>
            </w:r>
            <w:r>
              <w:rPr>
                <w:rFonts w:hint="default" w:ascii="Times New Roman" w:hAnsi="Times New Roman" w:eastAsia="宋体" w:cs="Times New Roman"/>
                <w:sz w:val="20"/>
                <w:szCs w:val="20"/>
                <w:lang w:val="en-US" w:eastAsia="zh-CN"/>
              </w:rPr>
              <w:t>±62</w:t>
            </w:r>
            <w:r>
              <w:rPr>
                <w:rFonts w:hint="default" w:ascii="Times New Roman" w:hAnsi="Times New Roman" w:cs="Times New Roman"/>
                <w:sz w:val="20"/>
                <w:szCs w:val="20"/>
                <w:lang w:val="en-US" w:eastAsia="zh-CN"/>
              </w:rPr>
              <w:t>0/2840/830</w:t>
            </w:r>
          </w:p>
        </w:tc>
        <w:tc>
          <w:tcPr>
            <w:tcW w:w="1035" w:type="dxa"/>
            <w:tcBorders>
              <w:top w:val="nil"/>
              <w:left w:val="nil"/>
              <w:bottom w:val="nil"/>
              <w:right w:val="nil"/>
            </w:tcBorders>
            <w:vAlign w:val="top"/>
          </w:tcPr>
          <w:p>
            <w:pPr>
              <w:widowControl w:val="0"/>
              <w:spacing w:beforeLines="0" w:afterLines="0"/>
              <w:jc w:val="left"/>
              <w:rPr>
                <w:rFonts w:hint="default" w:ascii="Times New Roman" w:hAnsi="Times New Roman" w:eastAsia="宋体" w:cs="Times New Roman"/>
                <w:sz w:val="20"/>
                <w:szCs w:val="20"/>
                <w:lang w:val="en-US" w:eastAsia="zh-CN"/>
              </w:rPr>
            </w:pPr>
            <w:r>
              <w:rPr>
                <w:rFonts w:hint="default" w:ascii="Times New Roman" w:hAnsi="Times New Roman" w:eastAsia="Times New Roman" w:cs="Times New Roman"/>
                <w:color w:val="000000"/>
                <w:sz w:val="20"/>
                <w:szCs w:val="20"/>
              </w:rPr>
              <w:t>LOS</w:t>
            </w:r>
          </w:p>
        </w:tc>
        <w:tc>
          <w:tcPr>
            <w:tcW w:w="4100" w:type="dxa"/>
            <w:tcBorders>
              <w:top w:val="nil"/>
              <w:left w:val="nil"/>
              <w:bottom w:val="nil"/>
              <w:right w:val="nil"/>
            </w:tcBorders>
            <w:vAlign w:val="center"/>
          </w:tcPr>
          <w:p>
            <w:pPr>
              <w:widowControl w:val="0"/>
              <w:numPr>
                <w:ilvl w:val="0"/>
                <w:numId w:val="0"/>
              </w:numPr>
              <w:rPr>
                <w:rFonts w:hint="default" w:ascii="Times New Roman" w:hAnsi="Times New Roman" w:cs="Times New Roman"/>
                <w:sz w:val="20"/>
                <w:szCs w:val="20"/>
              </w:rPr>
            </w:pPr>
            <w:r>
              <w:rPr>
                <w:rFonts w:hint="default" w:ascii="Times New Roman" w:hAnsi="Times New Roman" w:cs="Times New Roman"/>
                <w:sz w:val="20"/>
                <w:szCs w:val="20"/>
              </w:rPr>
              <w:t xml:space="preserve">Sepsis was diagnosed according to Griffin Neonatal Sepsis Score in which Feeding intolerance </w:t>
            </w:r>
          </w:p>
        </w:tc>
        <w:tc>
          <w:tcPr>
            <w:tcW w:w="3385" w:type="dxa"/>
            <w:gridSpan w:val="2"/>
            <w:tcBorders>
              <w:top w:val="nil"/>
              <w:left w:val="nil"/>
              <w:bottom w:val="nil"/>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Inclusion criteria included maternal history of fever or resistant UTI, immune suppressant drugs intake, history of PROM or bad odor of amniotic fluid, regardless mode of delivery, number, or sex.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1" w:hRule="atLeast"/>
        </w:trPr>
        <w:tc>
          <w:tcPr>
            <w:tcW w:w="1930" w:type="dxa"/>
            <w:tcBorders>
              <w:top w:val="nil"/>
              <w:left w:val="nil"/>
              <w:bottom w:val="nil"/>
              <w:right w:val="nil"/>
            </w:tcBorders>
            <w:vAlign w:val="top"/>
          </w:tcPr>
          <w:p>
            <w:pPr>
              <w:widowControl w:val="0"/>
              <w:spacing w:beforeLines="0" w:afterLines="0"/>
              <w:jc w:val="left"/>
              <w:rPr>
                <w:rFonts w:hint="default" w:ascii="Times New Roman" w:hAnsi="Times New Roman" w:cs="Times New Roman"/>
                <w:sz w:val="20"/>
                <w:szCs w:val="20"/>
                <w:lang w:val="en-US"/>
              </w:rPr>
            </w:pPr>
            <w:r>
              <w:rPr>
                <w:rFonts w:hint="default" w:ascii="Times New Roman" w:hAnsi="Times New Roman" w:eastAsia="Times New Roman" w:cs="Times New Roman"/>
                <w:color w:val="000000"/>
                <w:sz w:val="20"/>
                <w:szCs w:val="20"/>
              </w:rPr>
              <w:t>Ozdemir</w:t>
            </w:r>
            <w:r>
              <w:rPr>
                <w:rFonts w:hint="default" w:ascii="Times New Roman" w:hAnsi="Times New Roman" w:eastAsia="宋体" w:cs="Times New Roman"/>
                <w:color w:val="000000"/>
                <w:sz w:val="20"/>
                <w:szCs w:val="20"/>
                <w:lang w:val="en-US" w:eastAsia="zh-CN"/>
              </w:rPr>
              <w:t xml:space="preserve"> et al,2016</w:t>
            </w:r>
            <w:r>
              <w:rPr>
                <w:rFonts w:hint="eastAsia" w:cs="Times New Roman"/>
                <w:color w:val="000000"/>
                <w:sz w:val="20"/>
                <w:szCs w:val="20"/>
                <w:lang w:val="en-US" w:eastAsia="zh-CN"/>
              </w:rPr>
              <w:t xml:space="preserve"> [38]</w:t>
            </w:r>
          </w:p>
        </w:tc>
        <w:tc>
          <w:tcPr>
            <w:tcW w:w="1552" w:type="dxa"/>
            <w:tcBorders>
              <w:top w:val="nil"/>
              <w:left w:val="nil"/>
              <w:bottom w:val="nil"/>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eastAsia="Times New Roman" w:cs="Times New Roman"/>
                <w:color w:val="000000"/>
                <w:sz w:val="20"/>
                <w:szCs w:val="20"/>
              </w:rPr>
              <w:t>Asia</w:t>
            </w:r>
          </w:p>
        </w:tc>
        <w:tc>
          <w:tcPr>
            <w:tcW w:w="1365" w:type="dxa"/>
            <w:tcBorders>
              <w:top w:val="nil"/>
              <w:left w:val="nil"/>
              <w:bottom w:val="nil"/>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cs="Times New Roman"/>
                <w:sz w:val="20"/>
                <w:szCs w:val="20"/>
              </w:rPr>
              <w:t>October 2015 and February 2016</w:t>
            </w:r>
          </w:p>
        </w:tc>
        <w:tc>
          <w:tcPr>
            <w:tcW w:w="2304" w:type="dxa"/>
            <w:tcBorders>
              <w:top w:val="nil"/>
              <w:left w:val="nil"/>
              <w:bottom w:val="nil"/>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Cohort</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study</w:t>
            </w:r>
          </w:p>
        </w:tc>
        <w:tc>
          <w:tcPr>
            <w:tcW w:w="1186" w:type="dxa"/>
            <w:tcBorders>
              <w:top w:val="nil"/>
              <w:left w:val="nil"/>
              <w:bottom w:val="nil"/>
              <w:right w:val="nil"/>
            </w:tcBorders>
            <w:vAlign w:val="center"/>
          </w:tcPr>
          <w:p>
            <w:pPr>
              <w:widowControl w:val="0"/>
              <w:numPr>
                <w:ilvl w:val="0"/>
                <w:numId w:val="0"/>
              </w:numPr>
              <w:ind w:left="0" w:leftChars="0" w:firstLine="0" w:firstLineChars="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2550" w:type="dxa"/>
            <w:tcBorders>
              <w:top w:val="nil"/>
              <w:left w:val="nil"/>
              <w:bottom w:val="nil"/>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rPr>
              <w:t>39.12±0.93 (39)</w:t>
            </w:r>
          </w:p>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/39</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0.98 (39)</w:t>
            </w:r>
          </w:p>
        </w:tc>
        <w:tc>
          <w:tcPr>
            <w:tcW w:w="165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3286.4</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460.89/</w:t>
            </w:r>
            <w:r>
              <w:rPr>
                <w:rFonts w:hint="default" w:ascii="Times New Roman" w:hAnsi="Times New Roman" w:cs="Times New Roman"/>
                <w:sz w:val="20"/>
                <w:szCs w:val="20"/>
              </w:rPr>
              <w:t>3379.33±420.93</w:t>
            </w:r>
          </w:p>
          <w:p>
            <w:pPr>
              <w:widowControl w:val="0"/>
              <w:rPr>
                <w:rFonts w:hint="default" w:ascii="Times New Roman" w:hAnsi="Times New Roman" w:cs="Times New Roman"/>
                <w:sz w:val="20"/>
                <w:szCs w:val="20"/>
              </w:rPr>
            </w:pPr>
          </w:p>
        </w:tc>
        <w:tc>
          <w:tcPr>
            <w:tcW w:w="1035" w:type="dxa"/>
            <w:tcBorders>
              <w:top w:val="nil"/>
              <w:left w:val="nil"/>
              <w:bottom w:val="nil"/>
              <w:right w:val="nil"/>
            </w:tcBorders>
            <w:vAlign w:val="top"/>
          </w:tcPr>
          <w:p>
            <w:pPr>
              <w:widowControl w:val="0"/>
              <w:spacing w:beforeLines="0" w:afterLines="0"/>
              <w:jc w:val="left"/>
              <w:rPr>
                <w:rFonts w:hint="default" w:ascii="Times New Roman" w:hAnsi="Times New Roman" w:eastAsia="宋体" w:cs="Times New Roman"/>
                <w:sz w:val="20"/>
                <w:szCs w:val="20"/>
                <w:lang w:val="en-US" w:eastAsia="zh-CN"/>
              </w:rPr>
            </w:pPr>
            <w:r>
              <w:rPr>
                <w:rFonts w:hint="default" w:ascii="Times New Roman" w:hAnsi="Times New Roman" w:eastAsia="Times New Roman" w:cs="Times New Roman"/>
                <w:color w:val="000000"/>
                <w:sz w:val="20"/>
                <w:szCs w:val="20"/>
              </w:rPr>
              <w:t>EOS</w:t>
            </w:r>
          </w:p>
        </w:tc>
        <w:tc>
          <w:tcPr>
            <w:tcW w:w="4100" w:type="dxa"/>
            <w:tcBorders>
              <w:top w:val="nil"/>
              <w:left w:val="nil"/>
              <w:bottom w:val="nil"/>
              <w:right w:val="nil"/>
            </w:tcBorders>
            <w:vAlign w:val="center"/>
          </w:tcPr>
          <w:p>
            <w:pPr>
              <w:widowControl w:val="0"/>
              <w:numPr>
                <w:ilvl w:val="0"/>
                <w:numId w:val="0"/>
              </w:numPr>
              <w:ind w:leftChars="0"/>
              <w:rPr>
                <w:rFonts w:hint="default" w:ascii="Times New Roman" w:hAnsi="Times New Roman" w:cs="Times New Roman"/>
                <w:sz w:val="20"/>
                <w:szCs w:val="20"/>
              </w:rPr>
            </w:pPr>
            <w:r>
              <w:rPr>
                <w:rFonts w:hint="default" w:ascii="Times New Roman" w:hAnsi="Times New Roman" w:cs="Times New Roman"/>
                <w:sz w:val="20"/>
                <w:szCs w:val="20"/>
              </w:rPr>
              <w:t>High</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probable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sepsis</w:t>
            </w:r>
            <w:r>
              <w:rPr>
                <w:rFonts w:hint="default" w:ascii="Times New Roman" w:hAnsi="Times New Roman" w:cs="Times New Roman"/>
                <w:sz w:val="20"/>
                <w:szCs w:val="20"/>
                <w:lang w:val="en-US" w:eastAsia="zh-CN"/>
              </w:rPr>
              <w:t>: 1.</w:t>
            </w:r>
            <w:r>
              <w:rPr>
                <w:rFonts w:hint="default" w:ascii="Times New Roman" w:hAnsi="Times New Roman" w:cs="Times New Roman"/>
                <w:sz w:val="20"/>
                <w:szCs w:val="20"/>
              </w:rPr>
              <w:t>At least three sepsis-related clinical signs</w:t>
            </w:r>
            <w:r>
              <w:rPr>
                <w:rFonts w:hint="default" w:ascii="Times New Roman" w:hAnsi="Times New Roman" w:cs="Times New Roman"/>
                <w:sz w:val="20"/>
                <w:szCs w:val="20"/>
                <w:lang w:val="en-US" w:eastAsia="zh-CN"/>
              </w:rPr>
              <w:t>; 2.</w:t>
            </w:r>
            <w:r>
              <w:rPr>
                <w:rFonts w:hint="default" w:ascii="Times New Roman" w:hAnsi="Times New Roman" w:cs="Times New Roman"/>
                <w:sz w:val="20"/>
                <w:szCs w:val="20"/>
              </w:rPr>
              <w:t>CRP &gt; 6 mg/L</w:t>
            </w:r>
            <w:r>
              <w:rPr>
                <w:rFonts w:hint="default" w:ascii="Times New Roman" w:hAnsi="Times New Roman" w:cs="Times New Roman"/>
                <w:sz w:val="20"/>
                <w:szCs w:val="20"/>
                <w:lang w:val="en-US" w:eastAsia="zh-CN"/>
              </w:rPr>
              <w:t>; 3.</w:t>
            </w:r>
            <w:r>
              <w:rPr>
                <w:rFonts w:hint="default" w:ascii="Times New Roman" w:hAnsi="Times New Roman" w:cs="Times New Roman"/>
                <w:sz w:val="20"/>
                <w:szCs w:val="20"/>
              </w:rPr>
              <w:t>At least two other altered serum</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parameters in addition to CRP</w:t>
            </w:r>
            <w:r>
              <w:rPr>
                <w:rFonts w:hint="default" w:ascii="Times New Roman" w:hAnsi="Times New Roman" w:cs="Times New Roman"/>
                <w:sz w:val="20"/>
                <w:szCs w:val="20"/>
                <w:lang w:val="en-US" w:eastAsia="zh-CN"/>
              </w:rPr>
              <w:t>; 4.</w:t>
            </w:r>
            <w:r>
              <w:rPr>
                <w:rFonts w:hint="default" w:ascii="Times New Roman" w:hAnsi="Times New Roman" w:cs="Times New Roman"/>
                <w:sz w:val="20"/>
                <w:szCs w:val="20"/>
              </w:rPr>
              <w:t>Blood culture: Positive or negative</w:t>
            </w:r>
          </w:p>
          <w:p>
            <w:pPr>
              <w:widowControl w:val="0"/>
              <w:numPr>
                <w:ilvl w:val="0"/>
                <w:numId w:val="0"/>
              </w:numPr>
              <w:rPr>
                <w:rFonts w:hint="default" w:ascii="Times New Roman" w:hAnsi="Times New Roman" w:cs="Times New Roman"/>
                <w:sz w:val="20"/>
                <w:szCs w:val="20"/>
              </w:rPr>
            </w:pPr>
          </w:p>
          <w:p>
            <w:pPr>
              <w:widowControl w:val="0"/>
              <w:numPr>
                <w:ilvl w:val="0"/>
                <w:numId w:val="0"/>
              </w:numPr>
              <w:rPr>
                <w:rFonts w:hint="default" w:ascii="Times New Roman" w:hAnsi="Times New Roman" w:cs="Times New Roman"/>
                <w:sz w:val="20"/>
                <w:szCs w:val="20"/>
              </w:rPr>
            </w:pPr>
            <w:r>
              <w:rPr>
                <w:rFonts w:hint="default" w:ascii="Times New Roman" w:hAnsi="Times New Roman" w:cs="Times New Roman"/>
                <w:sz w:val="20"/>
                <w:szCs w:val="20"/>
              </w:rPr>
              <w:t>Probable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sepsis</w:t>
            </w:r>
            <w:r>
              <w:rPr>
                <w:rFonts w:hint="default" w:ascii="Times New Roman" w:hAnsi="Times New Roman" w:cs="Times New Roman"/>
                <w:sz w:val="20"/>
                <w:szCs w:val="20"/>
                <w:lang w:val="en-US" w:eastAsia="zh-CN"/>
              </w:rPr>
              <w:t>: 1.less than</w:t>
            </w:r>
            <w:r>
              <w:rPr>
                <w:rFonts w:hint="default" w:ascii="Times New Roman" w:hAnsi="Times New Roman" w:cs="Times New Roman"/>
                <w:sz w:val="20"/>
                <w:szCs w:val="20"/>
              </w:rPr>
              <w:t xml:space="preserve"> three sepsis-related clinical signs</w:t>
            </w:r>
            <w:r>
              <w:rPr>
                <w:rFonts w:hint="default" w:ascii="Times New Roman" w:hAnsi="Times New Roman" w:cs="Times New Roman"/>
                <w:sz w:val="20"/>
                <w:szCs w:val="20"/>
                <w:lang w:val="en-US" w:eastAsia="zh-CN"/>
              </w:rPr>
              <w:t>; 2.</w:t>
            </w:r>
            <w:r>
              <w:rPr>
                <w:rFonts w:hint="default" w:ascii="Times New Roman" w:hAnsi="Times New Roman" w:cs="Times New Roman"/>
                <w:sz w:val="20"/>
                <w:szCs w:val="20"/>
              </w:rPr>
              <w:t>CRP &gt; 6 mg/L</w:t>
            </w:r>
            <w:r>
              <w:rPr>
                <w:rFonts w:hint="default" w:ascii="Times New Roman" w:hAnsi="Times New Roman" w:cs="Times New Roman"/>
                <w:sz w:val="20"/>
                <w:szCs w:val="20"/>
                <w:lang w:val="en-US" w:eastAsia="zh-CN"/>
              </w:rPr>
              <w:t>; 3.</w:t>
            </w:r>
            <w:r>
              <w:rPr>
                <w:rFonts w:hint="default" w:ascii="Times New Roman" w:hAnsi="Times New Roman" w:cs="Times New Roman"/>
                <w:sz w:val="20"/>
                <w:szCs w:val="20"/>
              </w:rPr>
              <w:t>At least two other altered serum</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parameters in addition to CRP</w:t>
            </w:r>
            <w:r>
              <w:rPr>
                <w:rFonts w:hint="default" w:ascii="Times New Roman" w:hAnsi="Times New Roman" w:cs="Times New Roman"/>
                <w:sz w:val="20"/>
                <w:szCs w:val="20"/>
                <w:lang w:val="en-US" w:eastAsia="zh-CN"/>
              </w:rPr>
              <w:t>; 4.</w:t>
            </w:r>
            <w:r>
              <w:rPr>
                <w:rFonts w:hint="default" w:ascii="Times New Roman" w:hAnsi="Times New Roman" w:cs="Times New Roman"/>
                <w:sz w:val="20"/>
                <w:szCs w:val="20"/>
              </w:rPr>
              <w:t>Blood culture: negative</w:t>
            </w:r>
          </w:p>
          <w:p>
            <w:pPr>
              <w:widowControl w:val="0"/>
              <w:numPr>
                <w:ilvl w:val="0"/>
                <w:numId w:val="0"/>
              </w:numPr>
              <w:rPr>
                <w:rFonts w:hint="default" w:ascii="Times New Roman" w:hAnsi="Times New Roman" w:cs="Times New Roman"/>
                <w:sz w:val="20"/>
                <w:szCs w:val="20"/>
              </w:rPr>
            </w:pPr>
          </w:p>
          <w:p>
            <w:pPr>
              <w:widowControl w:val="0"/>
              <w:numPr>
                <w:ilvl w:val="0"/>
                <w:numId w:val="0"/>
              </w:numPr>
              <w:rPr>
                <w:rFonts w:hint="default" w:ascii="Times New Roman" w:hAnsi="Times New Roman" w:cs="Times New Roman"/>
                <w:sz w:val="20"/>
                <w:szCs w:val="20"/>
              </w:rPr>
            </w:pPr>
            <w:r>
              <w:rPr>
                <w:rFonts w:hint="default" w:ascii="Times New Roman" w:hAnsi="Times New Roman" w:cs="Times New Roman"/>
                <w:sz w:val="20"/>
                <w:szCs w:val="20"/>
              </w:rPr>
              <w:t>Possible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sepsis</w:t>
            </w:r>
            <w:r>
              <w:rPr>
                <w:rFonts w:hint="default" w:ascii="Times New Roman" w:hAnsi="Times New Roman" w:cs="Times New Roman"/>
                <w:sz w:val="20"/>
                <w:szCs w:val="20"/>
                <w:lang w:val="en-US" w:eastAsia="zh-CN"/>
              </w:rPr>
              <w:t>: 1.less than</w:t>
            </w:r>
            <w:r>
              <w:rPr>
                <w:rFonts w:hint="default" w:ascii="Times New Roman" w:hAnsi="Times New Roman" w:cs="Times New Roman"/>
                <w:sz w:val="20"/>
                <w:szCs w:val="20"/>
              </w:rPr>
              <w:t xml:space="preserve"> three sepsis-related clinical signs</w:t>
            </w:r>
            <w:r>
              <w:rPr>
                <w:rFonts w:hint="default" w:ascii="Times New Roman" w:hAnsi="Times New Roman" w:cs="Times New Roman"/>
                <w:sz w:val="20"/>
                <w:szCs w:val="20"/>
                <w:lang w:val="en-US" w:eastAsia="zh-CN"/>
              </w:rPr>
              <w:t>; 2.</w:t>
            </w:r>
            <w:r>
              <w:rPr>
                <w:rFonts w:hint="default" w:ascii="Times New Roman" w:hAnsi="Times New Roman" w:cs="Times New Roman"/>
                <w:sz w:val="20"/>
                <w:szCs w:val="20"/>
              </w:rPr>
              <w:t>CRP &gt; 6 mg/L</w:t>
            </w:r>
            <w:r>
              <w:rPr>
                <w:rFonts w:hint="default" w:ascii="Times New Roman" w:hAnsi="Times New Roman" w:cs="Times New Roman"/>
                <w:sz w:val="20"/>
                <w:szCs w:val="20"/>
                <w:lang w:val="en-US" w:eastAsia="zh-CN"/>
              </w:rPr>
              <w:t>; 3.less than</w:t>
            </w:r>
            <w:r>
              <w:rPr>
                <w:rFonts w:hint="default" w:ascii="Times New Roman" w:hAnsi="Times New Roman" w:cs="Times New Roman"/>
                <w:sz w:val="20"/>
                <w:szCs w:val="20"/>
              </w:rPr>
              <w:t xml:space="preserve"> two other altered serum</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parameters in addition to CRP</w:t>
            </w:r>
            <w:r>
              <w:rPr>
                <w:rFonts w:hint="default" w:ascii="Times New Roman" w:hAnsi="Times New Roman" w:cs="Times New Roman"/>
                <w:sz w:val="20"/>
                <w:szCs w:val="20"/>
                <w:lang w:val="en-US" w:eastAsia="zh-CN"/>
              </w:rPr>
              <w:t>; 4.</w:t>
            </w:r>
            <w:r>
              <w:rPr>
                <w:rFonts w:hint="default" w:ascii="Times New Roman" w:hAnsi="Times New Roman" w:cs="Times New Roman"/>
                <w:sz w:val="20"/>
                <w:szCs w:val="20"/>
              </w:rPr>
              <w:t>Blood culture: negative</w:t>
            </w:r>
          </w:p>
          <w:p>
            <w:pPr>
              <w:widowControl w:val="0"/>
              <w:numPr>
                <w:ilvl w:val="0"/>
                <w:numId w:val="0"/>
              </w:numPr>
              <w:rPr>
                <w:rFonts w:hint="default" w:ascii="Times New Roman" w:hAnsi="Times New Roman" w:eastAsia="宋体" w:cs="Times New Roman"/>
                <w:sz w:val="20"/>
                <w:szCs w:val="20"/>
                <w:lang w:val="en-US" w:eastAsia="zh-CN"/>
              </w:rPr>
            </w:pPr>
          </w:p>
        </w:tc>
        <w:tc>
          <w:tcPr>
            <w:tcW w:w="3385" w:type="dxa"/>
            <w:gridSpan w:val="2"/>
            <w:tcBorders>
              <w:top w:val="nil"/>
              <w:left w:val="nil"/>
              <w:bottom w:val="nil"/>
              <w:right w:val="nil"/>
            </w:tcBorders>
            <w:vAlign w:val="center"/>
          </w:tcPr>
          <w:p>
            <w:pPr>
              <w:widowControl w:val="0"/>
              <w:numPr>
                <w:ilvl w:val="0"/>
                <w:numId w:val="0"/>
              </w:numPr>
              <w:rPr>
                <w:rFonts w:hint="default" w:ascii="Times New Roman" w:hAnsi="Times New Roman" w:cs="Times New Roman"/>
                <w:sz w:val="20"/>
                <w:szCs w:val="20"/>
              </w:rPr>
            </w:pPr>
            <w:r>
              <w:rPr>
                <w:rFonts w:hint="default" w:ascii="Times New Roman" w:hAnsi="Times New Roman" w:eastAsia="宋体" w:cs="Times New Roman"/>
                <w:sz w:val="20"/>
                <w:szCs w:val="20"/>
                <w:lang w:val="en-US" w:eastAsia="zh-CN"/>
              </w:rPr>
              <w:t>No</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Seps</w:t>
            </w:r>
            <w:r>
              <w:rPr>
                <w:rFonts w:hint="default" w:ascii="Times New Roman" w:hAnsi="Times New Roman" w:cs="Times New Roman"/>
                <w:sz w:val="20"/>
                <w:szCs w:val="20"/>
                <w:lang w:val="en-US" w:eastAsia="zh-CN"/>
              </w:rPr>
              <w:t>i</w:t>
            </w:r>
            <w:r>
              <w:rPr>
                <w:rFonts w:hint="default" w:ascii="Times New Roman" w:hAnsi="Times New Roman" w:eastAsia="宋体" w:cs="Times New Roman"/>
                <w:sz w:val="20"/>
                <w:szCs w:val="20"/>
                <w:lang w:val="en-US" w:eastAsia="zh-CN"/>
              </w:rPr>
              <w:t>s</w:t>
            </w:r>
            <w:r>
              <w:rPr>
                <w:rFonts w:hint="default" w:ascii="Times New Roman" w:hAnsi="Times New Roman" w:cs="Times New Roman"/>
                <w:sz w:val="20"/>
                <w:szCs w:val="20"/>
                <w:lang w:val="en-US" w:eastAsia="zh-CN"/>
              </w:rPr>
              <w:t>: 1.No</w:t>
            </w:r>
            <w:r>
              <w:rPr>
                <w:rFonts w:hint="default" w:ascii="Times New Roman" w:hAnsi="Times New Roman" w:cs="Times New Roman"/>
                <w:sz w:val="20"/>
                <w:szCs w:val="20"/>
              </w:rPr>
              <w:t xml:space="preserve"> sepsis-related clinical signs</w:t>
            </w:r>
            <w:r>
              <w:rPr>
                <w:rFonts w:hint="default" w:ascii="Times New Roman" w:hAnsi="Times New Roman" w:cs="Times New Roman"/>
                <w:sz w:val="20"/>
                <w:szCs w:val="20"/>
                <w:lang w:val="en-US" w:eastAsia="zh-CN"/>
              </w:rPr>
              <w:t>; 2.</w:t>
            </w:r>
            <w:r>
              <w:rPr>
                <w:rFonts w:hint="default" w:ascii="Times New Roman" w:hAnsi="Times New Roman" w:cs="Times New Roman"/>
                <w:sz w:val="20"/>
                <w:szCs w:val="20"/>
              </w:rPr>
              <w:t xml:space="preserve">CRP </w:t>
            </w:r>
            <w:r>
              <w:rPr>
                <w:rFonts w:hint="default" w:ascii="Times New Roman" w:hAnsi="Times New Roman" w:cs="Times New Roman"/>
                <w:sz w:val="20"/>
                <w:szCs w:val="20"/>
                <w:lang w:val="en-US" w:eastAsia="zh-CN"/>
              </w:rPr>
              <w:t>&lt;</w:t>
            </w:r>
            <w:r>
              <w:rPr>
                <w:rFonts w:hint="default" w:ascii="Times New Roman" w:hAnsi="Times New Roman" w:cs="Times New Roman"/>
                <w:sz w:val="20"/>
                <w:szCs w:val="20"/>
              </w:rPr>
              <w:t xml:space="preserve"> 6 mg/L</w:t>
            </w:r>
            <w:r>
              <w:rPr>
                <w:rFonts w:hint="default" w:ascii="Times New Roman" w:hAnsi="Times New Roman" w:cs="Times New Roman"/>
                <w:sz w:val="20"/>
                <w:szCs w:val="20"/>
                <w:lang w:val="en-US" w:eastAsia="zh-CN"/>
              </w:rPr>
              <w:t xml:space="preserve">; 3.No </w:t>
            </w:r>
            <w:r>
              <w:rPr>
                <w:rFonts w:hint="default" w:ascii="Times New Roman" w:hAnsi="Times New Roman" w:cs="Times New Roman"/>
                <w:sz w:val="20"/>
                <w:szCs w:val="20"/>
              </w:rPr>
              <w:t>altered serum</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parameters in addition to CRP</w:t>
            </w:r>
            <w:r>
              <w:rPr>
                <w:rFonts w:hint="default" w:ascii="Times New Roman" w:hAnsi="Times New Roman" w:cs="Times New Roman"/>
                <w:sz w:val="20"/>
                <w:szCs w:val="20"/>
                <w:lang w:val="en-US" w:eastAsia="zh-CN"/>
              </w:rPr>
              <w:t>; 4.</w:t>
            </w:r>
            <w:r>
              <w:rPr>
                <w:rFonts w:hint="default" w:ascii="Times New Roman" w:hAnsi="Times New Roman" w:cs="Times New Roman"/>
                <w:sz w:val="20"/>
                <w:szCs w:val="20"/>
              </w:rPr>
              <w:t>Blood culture: negative</w:t>
            </w:r>
          </w:p>
          <w:p>
            <w:pPr>
              <w:widowControl w:val="0"/>
              <w:rPr>
                <w:rFonts w:hint="default" w:ascii="Times New Roman" w:hAnsi="Times New Roman" w:eastAsia="宋体"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1" w:hRule="atLeast"/>
        </w:trPr>
        <w:tc>
          <w:tcPr>
            <w:tcW w:w="1930" w:type="dxa"/>
            <w:tcBorders>
              <w:top w:val="nil"/>
              <w:left w:val="nil"/>
              <w:bottom w:val="nil"/>
              <w:right w:val="nil"/>
            </w:tcBorders>
            <w:vAlign w:val="top"/>
          </w:tcPr>
          <w:p>
            <w:pPr>
              <w:widowControl w:val="0"/>
              <w:spacing w:beforeLines="0" w:afterLines="0"/>
              <w:jc w:val="left"/>
              <w:rPr>
                <w:rFonts w:hint="default" w:ascii="Times New Roman" w:hAnsi="Times New Roman" w:cs="Times New Roman"/>
                <w:sz w:val="20"/>
                <w:szCs w:val="20"/>
                <w:lang w:val="en-US"/>
              </w:rPr>
            </w:pPr>
            <w:r>
              <w:rPr>
                <w:rFonts w:hint="default" w:ascii="Times New Roman" w:hAnsi="Times New Roman" w:eastAsia="Times New Roman" w:cs="Times New Roman"/>
                <w:color w:val="000000"/>
                <w:sz w:val="20"/>
                <w:szCs w:val="20"/>
              </w:rPr>
              <w:t>Topcuoglu</w:t>
            </w:r>
            <w:r>
              <w:rPr>
                <w:rFonts w:hint="default" w:ascii="Times New Roman" w:hAnsi="Times New Roman" w:eastAsia="宋体" w:cs="Times New Roman"/>
                <w:color w:val="000000"/>
                <w:sz w:val="20"/>
                <w:szCs w:val="20"/>
                <w:lang w:val="en-US" w:eastAsia="zh-CN"/>
              </w:rPr>
              <w:t xml:space="preserve"> et al,2016</w:t>
            </w:r>
            <w:r>
              <w:rPr>
                <w:rFonts w:hint="eastAsia" w:cs="Times New Roman"/>
                <w:color w:val="000000"/>
                <w:sz w:val="20"/>
                <w:szCs w:val="20"/>
                <w:lang w:val="en-US" w:eastAsia="zh-CN"/>
              </w:rPr>
              <w:t xml:space="preserve"> [39]</w:t>
            </w:r>
          </w:p>
        </w:tc>
        <w:tc>
          <w:tcPr>
            <w:tcW w:w="1552" w:type="dxa"/>
            <w:tcBorders>
              <w:top w:val="nil"/>
              <w:left w:val="nil"/>
              <w:bottom w:val="nil"/>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eastAsia="Times New Roman" w:cs="Times New Roman"/>
                <w:color w:val="000000"/>
                <w:sz w:val="20"/>
                <w:szCs w:val="20"/>
              </w:rPr>
              <w:t>Asia</w:t>
            </w:r>
          </w:p>
        </w:tc>
        <w:tc>
          <w:tcPr>
            <w:tcW w:w="1365" w:type="dxa"/>
            <w:tcBorders>
              <w:top w:val="nil"/>
              <w:left w:val="nil"/>
              <w:bottom w:val="nil"/>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cs="Times New Roman"/>
                <w:sz w:val="20"/>
                <w:szCs w:val="20"/>
              </w:rPr>
              <w:t>January and October</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2014.</w:t>
            </w:r>
          </w:p>
        </w:tc>
        <w:tc>
          <w:tcPr>
            <w:tcW w:w="2304" w:type="dxa"/>
            <w:tcBorders>
              <w:top w:val="nil"/>
              <w:left w:val="nil"/>
              <w:bottom w:val="nil"/>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Cohort</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study</w:t>
            </w:r>
          </w:p>
        </w:tc>
        <w:tc>
          <w:tcPr>
            <w:tcW w:w="1186" w:type="dxa"/>
            <w:tcBorders>
              <w:top w:val="nil"/>
              <w:left w:val="nil"/>
              <w:bottom w:val="nil"/>
              <w:right w:val="nil"/>
            </w:tcBorders>
            <w:vAlign w:val="center"/>
          </w:tcPr>
          <w:p>
            <w:pPr>
              <w:widowControl w:val="0"/>
              <w:numPr>
                <w:ilvl w:val="0"/>
                <w:numId w:val="0"/>
              </w:numPr>
              <w:ind w:left="0" w:leftChars="0" w:firstLine="0" w:firstLineChars="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255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eastAsia="Times New Roman" w:cs="Times New Roman"/>
                <w:sz w:val="20"/>
                <w:szCs w:val="20"/>
              </w:rPr>
              <w:t>28.4</w:t>
            </w:r>
            <w:r>
              <w:rPr>
                <w:rFonts w:hint="default" w:ascii="Times New Roman" w:hAnsi="Times New Roman" w:eastAsia="Symbol" w:cs="Times New Roman"/>
                <w:sz w:val="20"/>
                <w:szCs w:val="20"/>
              </w:rPr>
              <w:t></w:t>
            </w:r>
            <w:r>
              <w:rPr>
                <w:rFonts w:hint="default" w:ascii="Times New Roman" w:hAnsi="Times New Roman" w:eastAsia="Times New Roman" w:cs="Times New Roman"/>
                <w:sz w:val="20"/>
                <w:szCs w:val="20"/>
              </w:rPr>
              <w:t>2.6</w:t>
            </w:r>
            <w:r>
              <w:rPr>
                <w:rFonts w:hint="default" w:ascii="Times New Roman" w:hAnsi="Times New Roman" w:eastAsia="宋体" w:cs="Times New Roman"/>
                <w:sz w:val="20"/>
                <w:szCs w:val="20"/>
                <w:lang w:val="en-US" w:eastAsia="zh-CN"/>
              </w:rPr>
              <w:t>/</w:t>
            </w:r>
            <w:r>
              <w:rPr>
                <w:rFonts w:hint="default" w:ascii="Times New Roman" w:hAnsi="Times New Roman" w:eastAsia="Times New Roman" w:cs="Times New Roman"/>
                <w:sz w:val="20"/>
                <w:szCs w:val="20"/>
              </w:rPr>
              <w:t>28.9</w:t>
            </w:r>
            <w:r>
              <w:rPr>
                <w:rFonts w:hint="default" w:ascii="Times New Roman" w:hAnsi="Times New Roman" w:eastAsia="Symbol" w:cs="Times New Roman"/>
                <w:sz w:val="20"/>
                <w:szCs w:val="20"/>
              </w:rPr>
              <w:t></w:t>
            </w:r>
            <w:r>
              <w:rPr>
                <w:rFonts w:hint="default" w:ascii="Times New Roman" w:hAnsi="Times New Roman" w:eastAsia="Times New Roman" w:cs="Times New Roman"/>
                <w:sz w:val="20"/>
                <w:szCs w:val="20"/>
              </w:rPr>
              <w:t>2.8</w:t>
            </w:r>
          </w:p>
        </w:tc>
        <w:tc>
          <w:tcPr>
            <w:tcW w:w="1650" w:type="dxa"/>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eastAsia="Times New Roman" w:cs="Times New Roman"/>
                <w:sz w:val="20"/>
                <w:szCs w:val="20"/>
              </w:rPr>
              <w:t>1084</w:t>
            </w:r>
            <w:r>
              <w:rPr>
                <w:rFonts w:hint="default" w:ascii="Times New Roman" w:hAnsi="Times New Roman" w:eastAsia="Symbol" w:cs="Times New Roman"/>
                <w:sz w:val="20"/>
                <w:szCs w:val="20"/>
              </w:rPr>
              <w:t></w:t>
            </w:r>
            <w:r>
              <w:rPr>
                <w:rFonts w:hint="default" w:ascii="Times New Roman" w:hAnsi="Times New Roman" w:eastAsia="Times New Roman" w:cs="Times New Roman"/>
                <w:sz w:val="20"/>
                <w:szCs w:val="20"/>
              </w:rPr>
              <w:t>318</w:t>
            </w:r>
            <w:r>
              <w:rPr>
                <w:rFonts w:hint="default" w:ascii="Times New Roman" w:hAnsi="Times New Roman" w:eastAsia="宋体" w:cs="Times New Roman"/>
                <w:sz w:val="20"/>
                <w:szCs w:val="20"/>
                <w:lang w:val="en-US" w:eastAsia="zh-CN"/>
              </w:rPr>
              <w:t>/</w:t>
            </w:r>
            <w:r>
              <w:rPr>
                <w:rFonts w:hint="default" w:ascii="Times New Roman" w:hAnsi="Times New Roman" w:eastAsia="Times New Roman" w:cs="Times New Roman"/>
                <w:sz w:val="20"/>
                <w:szCs w:val="20"/>
              </w:rPr>
              <w:t>1140</w:t>
            </w:r>
            <w:r>
              <w:rPr>
                <w:rFonts w:hint="default" w:ascii="Times New Roman" w:hAnsi="Times New Roman" w:eastAsia="Symbol" w:cs="Times New Roman"/>
                <w:sz w:val="20"/>
                <w:szCs w:val="20"/>
              </w:rPr>
              <w:t></w:t>
            </w:r>
            <w:r>
              <w:rPr>
                <w:rFonts w:hint="default" w:ascii="Times New Roman" w:hAnsi="Times New Roman" w:eastAsia="Times New Roman" w:cs="Times New Roman"/>
                <w:sz w:val="20"/>
                <w:szCs w:val="20"/>
              </w:rPr>
              <w:t>338</w:t>
            </w:r>
          </w:p>
        </w:tc>
        <w:tc>
          <w:tcPr>
            <w:tcW w:w="1035" w:type="dxa"/>
            <w:tcBorders>
              <w:top w:val="nil"/>
              <w:left w:val="nil"/>
              <w:bottom w:val="nil"/>
              <w:right w:val="nil"/>
            </w:tcBorders>
            <w:vAlign w:val="top"/>
          </w:tcPr>
          <w:p>
            <w:pPr>
              <w:widowControl w:val="0"/>
              <w:spacing w:beforeLines="0" w:afterLines="0"/>
              <w:jc w:val="left"/>
              <w:rPr>
                <w:rFonts w:hint="default" w:ascii="Times New Roman" w:hAnsi="Times New Roman" w:eastAsia="宋体" w:cs="Times New Roman"/>
                <w:sz w:val="20"/>
                <w:szCs w:val="20"/>
                <w:lang w:val="en-US" w:eastAsia="zh-CN"/>
              </w:rPr>
            </w:pPr>
            <w:r>
              <w:rPr>
                <w:rFonts w:hint="default" w:ascii="Times New Roman" w:hAnsi="Times New Roman" w:eastAsia="Times New Roman" w:cs="Times New Roman"/>
                <w:color w:val="000000"/>
                <w:sz w:val="20"/>
                <w:szCs w:val="20"/>
              </w:rPr>
              <w:t>LOS</w:t>
            </w:r>
          </w:p>
        </w:tc>
        <w:tc>
          <w:tcPr>
            <w:tcW w:w="4100" w:type="dxa"/>
            <w:tcBorders>
              <w:top w:val="nil"/>
              <w:left w:val="nil"/>
              <w:bottom w:val="nil"/>
              <w:right w:val="nil"/>
            </w:tcBorders>
            <w:vAlign w:val="center"/>
          </w:tcPr>
          <w:p>
            <w:pPr>
              <w:widowControl w:val="0"/>
              <w:numPr>
                <w:ilvl w:val="0"/>
                <w:numId w:val="0"/>
              </w:numPr>
              <w:ind w:leftChars="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Töllner’s sepsis score</w:t>
            </w:r>
            <w:r>
              <w:rPr>
                <w:rFonts w:hint="default" w:ascii="Times New Roman" w:hAnsi="Times New Roman" w:cs="Times New Roman"/>
                <w:sz w:val="20"/>
                <w:szCs w:val="20"/>
                <w:lang w:val="en-US" w:eastAsia="zh-CN"/>
              </w:rPr>
              <w:t>: Points are given for each parameter (0, 1, 2, or 3); a higher number of points reflects greater severity. According to this scoring system, a score of &gt;10 indicates clinical sepsis, a score of &lt;5 indicates no sepsis, and a score of 5–10 indicates possible sepsis.</w:t>
            </w:r>
          </w:p>
        </w:tc>
        <w:tc>
          <w:tcPr>
            <w:tcW w:w="3385" w:type="dxa"/>
            <w:gridSpan w:val="2"/>
            <w:tcBorders>
              <w:top w:val="nil"/>
              <w:left w:val="nil"/>
              <w:bottom w:val="nil"/>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newborns without</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clinical findings of sepsis served as controls.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1" w:hRule="atLeast"/>
        </w:trPr>
        <w:tc>
          <w:tcPr>
            <w:tcW w:w="1930" w:type="dxa"/>
            <w:tcBorders>
              <w:top w:val="nil"/>
              <w:left w:val="nil"/>
              <w:bottom w:val="single" w:color="auto" w:sz="4" w:space="0"/>
              <w:right w:val="nil"/>
            </w:tcBorders>
            <w:vAlign w:val="top"/>
          </w:tcPr>
          <w:p>
            <w:pPr>
              <w:widowControl w:val="0"/>
              <w:spacing w:beforeLines="0" w:afterLines="0"/>
              <w:jc w:val="left"/>
              <w:rPr>
                <w:rFonts w:hint="default" w:ascii="Times New Roman" w:hAnsi="Times New Roman" w:cs="Times New Roman"/>
                <w:sz w:val="20"/>
                <w:szCs w:val="20"/>
                <w:lang w:val="en-US"/>
              </w:rPr>
            </w:pPr>
            <w:r>
              <w:rPr>
                <w:rFonts w:hint="default" w:ascii="Times New Roman" w:hAnsi="Times New Roman" w:eastAsia="Times New Roman" w:cs="Times New Roman"/>
                <w:color w:val="000000"/>
                <w:sz w:val="20"/>
                <w:szCs w:val="20"/>
              </w:rPr>
              <w:t>Neeraj Kumar</w:t>
            </w:r>
            <w:r>
              <w:rPr>
                <w:rFonts w:hint="default" w:ascii="Times New Roman" w:hAnsi="Times New Roman" w:eastAsia="宋体" w:cs="Times New Roman"/>
                <w:color w:val="000000"/>
                <w:sz w:val="20"/>
                <w:szCs w:val="20"/>
                <w:lang w:val="en-US" w:eastAsia="zh-CN"/>
              </w:rPr>
              <w:t xml:space="preserve"> et al,2018</w:t>
            </w:r>
            <w:r>
              <w:rPr>
                <w:rFonts w:hint="eastAsia" w:cs="Times New Roman"/>
                <w:color w:val="000000"/>
                <w:sz w:val="20"/>
                <w:szCs w:val="20"/>
                <w:lang w:val="en-US" w:eastAsia="zh-CN"/>
              </w:rPr>
              <w:t xml:space="preserve"> [40]</w:t>
            </w:r>
          </w:p>
        </w:tc>
        <w:tc>
          <w:tcPr>
            <w:tcW w:w="1552" w:type="dxa"/>
            <w:tcBorders>
              <w:top w:val="nil"/>
              <w:left w:val="nil"/>
              <w:bottom w:val="single" w:color="auto" w:sz="4" w:space="0"/>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eastAsia="Times New Roman" w:cs="Times New Roman"/>
                <w:color w:val="000000"/>
                <w:sz w:val="20"/>
                <w:szCs w:val="20"/>
              </w:rPr>
              <w:t>Asia</w:t>
            </w:r>
          </w:p>
        </w:tc>
        <w:tc>
          <w:tcPr>
            <w:tcW w:w="1365" w:type="dxa"/>
            <w:tcBorders>
              <w:top w:val="nil"/>
              <w:left w:val="nil"/>
              <w:bottom w:val="single" w:color="auto" w:sz="4" w:space="0"/>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cs="Times New Roman"/>
                <w:sz w:val="20"/>
                <w:szCs w:val="20"/>
              </w:rPr>
              <w:t>March 2015</w:t>
            </w:r>
          </w:p>
          <w:p>
            <w:pPr>
              <w:widowControl w:val="0"/>
              <w:spacing w:beforeLines="0" w:afterLines="0"/>
              <w:jc w:val="left"/>
              <w:rPr>
                <w:rFonts w:hint="default" w:ascii="Times New Roman" w:hAnsi="Times New Roman" w:cs="Times New Roman"/>
                <w:sz w:val="20"/>
                <w:szCs w:val="20"/>
              </w:rPr>
            </w:pPr>
            <w:r>
              <w:rPr>
                <w:rFonts w:hint="default" w:ascii="Times New Roman" w:hAnsi="Times New Roman" w:cs="Times New Roman"/>
                <w:sz w:val="20"/>
                <w:szCs w:val="20"/>
              </w:rPr>
              <w:t>through October 2016</w:t>
            </w:r>
          </w:p>
        </w:tc>
        <w:tc>
          <w:tcPr>
            <w:tcW w:w="2304" w:type="dxa"/>
            <w:tcBorders>
              <w:top w:val="nil"/>
              <w:left w:val="nil"/>
              <w:bottom w:val="single" w:color="auto" w:sz="4" w:space="0"/>
              <w:right w:val="nil"/>
            </w:tcBorders>
            <w:vAlign w:val="top"/>
          </w:tcPr>
          <w:p>
            <w:pPr>
              <w:widowControl w:val="0"/>
              <w:spacing w:beforeLines="0" w:afterLines="0"/>
              <w:jc w:val="left"/>
              <w:rPr>
                <w:rFonts w:hint="default" w:ascii="Times New Roman" w:hAnsi="Times New Roman" w:cs="Times New Roman"/>
                <w:sz w:val="20"/>
                <w:szCs w:val="20"/>
              </w:rPr>
            </w:pPr>
            <w:r>
              <w:rPr>
                <w:rFonts w:hint="default" w:ascii="Times New Roman" w:hAnsi="Times New Roman" w:eastAsia="Times New Roman" w:cs="Times New Roman"/>
                <w:color w:val="000000"/>
                <w:sz w:val="20"/>
                <w:szCs w:val="20"/>
              </w:rPr>
              <w:t>cross-sectional study</w:t>
            </w:r>
          </w:p>
        </w:tc>
        <w:tc>
          <w:tcPr>
            <w:tcW w:w="1186" w:type="dxa"/>
            <w:tcBorders>
              <w:top w:val="nil"/>
              <w:left w:val="nil"/>
              <w:bottom w:val="single" w:color="auto" w:sz="4" w:space="0"/>
              <w:right w:val="nil"/>
            </w:tcBorders>
            <w:vAlign w:val="center"/>
          </w:tcPr>
          <w:p>
            <w:pPr>
              <w:widowControl w:val="0"/>
              <w:numPr>
                <w:ilvl w:val="0"/>
                <w:numId w:val="0"/>
              </w:numPr>
              <w:ind w:left="0" w:leftChars="0" w:firstLine="0" w:firstLineChars="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NA</w:t>
            </w:r>
          </w:p>
        </w:tc>
        <w:tc>
          <w:tcPr>
            <w:tcW w:w="2550" w:type="dxa"/>
            <w:tcBorders>
              <w:top w:val="nil"/>
              <w:left w:val="nil"/>
              <w:bottom w:val="single" w:color="auto" w:sz="4" w:space="0"/>
              <w:right w:val="nil"/>
            </w:tcBorders>
            <w:vAlign w:val="center"/>
          </w:tcPr>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Preterm(&lt;37 wk)</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22(53.6) </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Term(≥37wk)</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19(46.3) </w:t>
            </w:r>
          </w:p>
          <w:p>
            <w:pPr>
              <w:widowControl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Control:</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Preterm(&lt;37wk)</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23(56)</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Term(≥37wk)</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18(43.9)</w:t>
            </w:r>
          </w:p>
        </w:tc>
        <w:tc>
          <w:tcPr>
            <w:tcW w:w="1650" w:type="dxa"/>
            <w:tcBorders>
              <w:top w:val="nil"/>
              <w:left w:val="nil"/>
              <w:bottom w:val="single" w:color="auto" w:sz="4" w:space="0"/>
              <w:right w:val="nil"/>
            </w:tcBorders>
            <w:vAlign w:val="center"/>
          </w:tcPr>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Case:</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&lt;2.5kg</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29(70.7) </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≥2.5kg</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12(29.2)</w:t>
            </w:r>
          </w:p>
          <w:p>
            <w:pPr>
              <w:widowControl w:val="0"/>
              <w:rPr>
                <w:rFonts w:hint="default" w:ascii="Times New Roman" w:hAnsi="Times New Roman" w:cs="Times New Roman"/>
                <w:sz w:val="20"/>
                <w:szCs w:val="20"/>
              </w:rPr>
            </w:pPr>
            <w:r>
              <w:rPr>
                <w:rFonts w:hint="default" w:ascii="Times New Roman" w:hAnsi="Times New Roman" w:cs="Times New Roman"/>
                <w:sz w:val="20"/>
                <w:szCs w:val="20"/>
                <w:lang w:val="en-US" w:eastAsia="zh-CN"/>
              </w:rPr>
              <w:t>Control:</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&lt;2.5kg</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27(65.8)</w:t>
            </w:r>
          </w:p>
          <w:p>
            <w:pPr>
              <w:widowControl w:val="0"/>
              <w:rPr>
                <w:rFonts w:hint="default" w:ascii="Times New Roman" w:hAnsi="Times New Roman" w:cs="Times New Roman"/>
                <w:sz w:val="20"/>
                <w:szCs w:val="20"/>
              </w:rPr>
            </w:pPr>
            <w:r>
              <w:rPr>
                <w:rFonts w:hint="default" w:ascii="Times New Roman" w:hAnsi="Times New Roman" w:cs="Times New Roman"/>
                <w:sz w:val="20"/>
                <w:szCs w:val="20"/>
              </w:rPr>
              <w:t>≥2.5kg</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14(34.1)</w:t>
            </w:r>
          </w:p>
        </w:tc>
        <w:tc>
          <w:tcPr>
            <w:tcW w:w="1035" w:type="dxa"/>
            <w:tcBorders>
              <w:top w:val="nil"/>
              <w:left w:val="nil"/>
              <w:bottom w:val="single" w:color="auto" w:sz="4" w:space="0"/>
              <w:right w:val="nil"/>
            </w:tcBorders>
            <w:vAlign w:val="top"/>
          </w:tcPr>
          <w:p>
            <w:pPr>
              <w:widowControl w:val="0"/>
              <w:spacing w:beforeLines="0" w:afterLines="0"/>
              <w:jc w:val="left"/>
              <w:rPr>
                <w:rFonts w:hint="default" w:ascii="Times New Roman" w:hAnsi="Times New Roman" w:eastAsia="宋体" w:cs="Times New Roman"/>
                <w:sz w:val="20"/>
                <w:szCs w:val="20"/>
                <w:lang w:val="en-US" w:eastAsia="zh-CN"/>
              </w:rPr>
            </w:pPr>
            <w:r>
              <w:rPr>
                <w:rFonts w:hint="default" w:ascii="Times New Roman" w:hAnsi="Times New Roman" w:eastAsia="Times New Roman" w:cs="Times New Roman"/>
                <w:color w:val="000000"/>
                <w:sz w:val="20"/>
                <w:szCs w:val="20"/>
              </w:rPr>
              <w:t>LOS+EOS</w:t>
            </w:r>
          </w:p>
        </w:tc>
        <w:tc>
          <w:tcPr>
            <w:tcW w:w="4100" w:type="dxa"/>
            <w:tcBorders>
              <w:top w:val="nil"/>
              <w:left w:val="nil"/>
              <w:bottom w:val="single" w:color="auto" w:sz="4" w:space="0"/>
              <w:right w:val="nil"/>
            </w:tcBorders>
            <w:vAlign w:val="center"/>
          </w:tcPr>
          <w:p>
            <w:pPr>
              <w:widowControl w:val="0"/>
              <w:numPr>
                <w:ilvl w:val="0"/>
                <w:numId w:val="0"/>
              </w:numPr>
              <w:ind w:leftChars="0"/>
              <w:rPr>
                <w:rFonts w:hint="default" w:ascii="Times New Roman" w:hAnsi="Times New Roman" w:cs="Times New Roman"/>
                <w:sz w:val="20"/>
                <w:szCs w:val="20"/>
              </w:rPr>
            </w:pPr>
            <w:r>
              <w:rPr>
                <w:rFonts w:hint="default" w:ascii="Times New Roman" w:hAnsi="Times New Roman" w:cs="Times New Roman"/>
                <w:sz w:val="20"/>
                <w:szCs w:val="20"/>
              </w:rPr>
              <w:t>Neonates with ≥1 features of sepsis</w:t>
            </w:r>
          </w:p>
          <w:p>
            <w:pPr>
              <w:widowControl w:val="0"/>
              <w:numPr>
                <w:ilvl w:val="0"/>
                <w:numId w:val="0"/>
              </w:numPr>
              <w:ind w:leftChars="0"/>
              <w:rPr>
                <w:rFonts w:hint="default" w:ascii="Times New Roman" w:hAnsi="Times New Roman" w:cs="Times New Roman"/>
                <w:sz w:val="20"/>
                <w:szCs w:val="20"/>
              </w:rPr>
            </w:pPr>
            <w:r>
              <w:rPr>
                <w:rFonts w:hint="default" w:ascii="Times New Roman" w:hAnsi="Times New Roman" w:cs="Times New Roman"/>
                <w:sz w:val="20"/>
                <w:szCs w:val="20"/>
              </w:rPr>
              <w:t>and/or two risk factors were included.</w:t>
            </w:r>
          </w:p>
        </w:tc>
        <w:tc>
          <w:tcPr>
            <w:tcW w:w="3385" w:type="dxa"/>
            <w:gridSpan w:val="2"/>
            <w:tcBorders>
              <w:top w:val="nil"/>
              <w:left w:val="nil"/>
              <w:bottom w:val="single" w:color="auto" w:sz="4" w:space="0"/>
              <w:right w:val="nil"/>
            </w:tcBorders>
            <w:vAlign w:val="center"/>
          </w:tcPr>
          <w:p>
            <w:pPr>
              <w:widowControl w:val="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with no clinical and laboratory evidence of sepsis</w:t>
            </w:r>
          </w:p>
        </w:tc>
      </w:tr>
    </w:tbl>
    <w:p>
      <w:pPr>
        <w:rPr>
          <w:rFonts w:hint="default" w:ascii="Times New Roman" w:hAnsi="Times New Roman" w:cs="Times New Roman"/>
          <w:sz w:val="20"/>
          <w:szCs w:val="20"/>
        </w:rPr>
      </w:pPr>
    </w:p>
    <w:sectPr>
      <w:pgSz w:w="23757" w:h="16783"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940065"/>
    <w:multiLevelType w:val="singleLevel"/>
    <w:tmpl w:val="B6940065"/>
    <w:lvl w:ilvl="0" w:tentative="0">
      <w:start w:val="1"/>
      <w:numFmt w:val="decimal"/>
      <w:suff w:val="space"/>
      <w:lvlText w:val="%1."/>
      <w:lvlJc w:val="left"/>
    </w:lvl>
  </w:abstractNum>
  <w:abstractNum w:abstractNumId="1">
    <w:nsid w:val="D187810B"/>
    <w:multiLevelType w:val="singleLevel"/>
    <w:tmpl w:val="D187810B"/>
    <w:lvl w:ilvl="0" w:tentative="0">
      <w:start w:val="2"/>
      <w:numFmt w:val="decimal"/>
      <w:suff w:val="space"/>
      <w:lvlText w:val="%1."/>
      <w:lvlJc w:val="left"/>
    </w:lvl>
  </w:abstractNum>
  <w:abstractNum w:abstractNumId="2">
    <w:nsid w:val="4D69F8A5"/>
    <w:multiLevelType w:val="singleLevel"/>
    <w:tmpl w:val="4D69F8A5"/>
    <w:lvl w:ilvl="0" w:tentative="0">
      <w:start w:val="1"/>
      <w:numFmt w:val="decimal"/>
      <w:suff w:val="space"/>
      <w:lvlText w:val="(%1)"/>
      <w:lvlJc w:val="left"/>
    </w:lvl>
  </w:abstractNum>
  <w:abstractNum w:abstractNumId="3">
    <w:nsid w:val="5BE5FED0"/>
    <w:multiLevelType w:val="singleLevel"/>
    <w:tmpl w:val="5BE5FED0"/>
    <w:lvl w:ilvl="0" w:tentative="0">
      <w:start w:val="2"/>
      <w:numFmt w:val="decimal"/>
      <w:suff w:val="space"/>
      <w:lvlText w:val="%1."/>
      <w:lvlJc w:val="left"/>
    </w:lvl>
  </w:abstractNum>
  <w:abstractNum w:abstractNumId="4">
    <w:nsid w:val="5E006861"/>
    <w:multiLevelType w:val="singleLevel"/>
    <w:tmpl w:val="5E006861"/>
    <w:lvl w:ilvl="0" w:tentative="0">
      <w:start w:val="2"/>
      <w:numFmt w:val="decimal"/>
      <w:suff w:val="space"/>
      <w:lvlText w:val="%1."/>
      <w:lvlJc w:val="left"/>
    </w:lvl>
  </w:abstractNum>
  <w:abstractNum w:abstractNumId="5">
    <w:nsid w:val="7017242C"/>
    <w:multiLevelType w:val="singleLevel"/>
    <w:tmpl w:val="7017242C"/>
    <w:lvl w:ilvl="0" w:tentative="0">
      <w:start w:val="1"/>
      <w:numFmt w:val="decimal"/>
      <w:lvlText w:val="%1."/>
      <w:lvlJc w:val="left"/>
      <w:pPr>
        <w:tabs>
          <w:tab w:val="left" w:pos="312"/>
        </w:tabs>
      </w:pPr>
    </w:lvl>
  </w:abstractNum>
  <w:abstractNum w:abstractNumId="6">
    <w:nsid w:val="72967112"/>
    <w:multiLevelType w:val="singleLevel"/>
    <w:tmpl w:val="72967112"/>
    <w:lvl w:ilvl="0" w:tentative="0">
      <w:start w:val="2"/>
      <w:numFmt w:val="decimal"/>
      <w:suff w:val="space"/>
      <w:lvlText w:val="%1."/>
      <w:lvlJc w:val="left"/>
    </w:lvl>
  </w:abstractNum>
  <w:num w:numId="1">
    <w:abstractNumId w:val="5"/>
  </w:num>
  <w:num w:numId="2">
    <w:abstractNumId w:val="6"/>
  </w:num>
  <w:num w:numId="3">
    <w:abstractNumId w:val="2"/>
  </w:num>
  <w:num w:numId="4">
    <w:abstractNumId w:val="4"/>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951A61"/>
    <w:rsid w:val="02033D74"/>
    <w:rsid w:val="02676C45"/>
    <w:rsid w:val="058058F2"/>
    <w:rsid w:val="05D328A3"/>
    <w:rsid w:val="070973B6"/>
    <w:rsid w:val="07560F84"/>
    <w:rsid w:val="0A073C87"/>
    <w:rsid w:val="0B9A14E3"/>
    <w:rsid w:val="0C8F53B9"/>
    <w:rsid w:val="0DB9552F"/>
    <w:rsid w:val="0F43176F"/>
    <w:rsid w:val="1082772A"/>
    <w:rsid w:val="11761BA4"/>
    <w:rsid w:val="128149C2"/>
    <w:rsid w:val="136D04F2"/>
    <w:rsid w:val="176267A4"/>
    <w:rsid w:val="17AC53F7"/>
    <w:rsid w:val="188A0EBE"/>
    <w:rsid w:val="1ABD723F"/>
    <w:rsid w:val="1B451BD4"/>
    <w:rsid w:val="20C97F40"/>
    <w:rsid w:val="21F33256"/>
    <w:rsid w:val="229E27B0"/>
    <w:rsid w:val="23CD0BDD"/>
    <w:rsid w:val="24645355"/>
    <w:rsid w:val="24C9485F"/>
    <w:rsid w:val="251E6044"/>
    <w:rsid w:val="25454F60"/>
    <w:rsid w:val="25D403DA"/>
    <w:rsid w:val="267C65DF"/>
    <w:rsid w:val="28AB33E3"/>
    <w:rsid w:val="29553649"/>
    <w:rsid w:val="29CD2392"/>
    <w:rsid w:val="29ED5A21"/>
    <w:rsid w:val="2B517374"/>
    <w:rsid w:val="2B985A11"/>
    <w:rsid w:val="2C554B74"/>
    <w:rsid w:val="2C8B2776"/>
    <w:rsid w:val="2CB65370"/>
    <w:rsid w:val="2E314509"/>
    <w:rsid w:val="2E6946AA"/>
    <w:rsid w:val="2E750C0B"/>
    <w:rsid w:val="2ECB03D7"/>
    <w:rsid w:val="2EFE05AA"/>
    <w:rsid w:val="2F2C2827"/>
    <w:rsid w:val="2FAF5328"/>
    <w:rsid w:val="318136BE"/>
    <w:rsid w:val="31A75F6E"/>
    <w:rsid w:val="31CB6F9B"/>
    <w:rsid w:val="327F39DC"/>
    <w:rsid w:val="329C4E70"/>
    <w:rsid w:val="342A76C6"/>
    <w:rsid w:val="361C5DCD"/>
    <w:rsid w:val="37B03D6E"/>
    <w:rsid w:val="37C028DF"/>
    <w:rsid w:val="382C6A6F"/>
    <w:rsid w:val="38674440"/>
    <w:rsid w:val="39C772EE"/>
    <w:rsid w:val="3A0F46C2"/>
    <w:rsid w:val="3A7F48A3"/>
    <w:rsid w:val="3B7B5618"/>
    <w:rsid w:val="3C03555E"/>
    <w:rsid w:val="3CCB2F0A"/>
    <w:rsid w:val="3E8A7FB9"/>
    <w:rsid w:val="3F3C37CC"/>
    <w:rsid w:val="3F81485B"/>
    <w:rsid w:val="43BD3467"/>
    <w:rsid w:val="44001D39"/>
    <w:rsid w:val="44B61C42"/>
    <w:rsid w:val="451E42DE"/>
    <w:rsid w:val="472B22CF"/>
    <w:rsid w:val="481A7D72"/>
    <w:rsid w:val="48277954"/>
    <w:rsid w:val="4871037C"/>
    <w:rsid w:val="49E164A2"/>
    <w:rsid w:val="4A383E74"/>
    <w:rsid w:val="4ABD0EF8"/>
    <w:rsid w:val="4B2C7C99"/>
    <w:rsid w:val="4C894A52"/>
    <w:rsid w:val="4D241B96"/>
    <w:rsid w:val="4FDB5970"/>
    <w:rsid w:val="51301B09"/>
    <w:rsid w:val="515B6E41"/>
    <w:rsid w:val="51AF4CA3"/>
    <w:rsid w:val="538E08FC"/>
    <w:rsid w:val="54333DDA"/>
    <w:rsid w:val="54923841"/>
    <w:rsid w:val="5521229F"/>
    <w:rsid w:val="55535C96"/>
    <w:rsid w:val="55E32A0A"/>
    <w:rsid w:val="581B4CF8"/>
    <w:rsid w:val="582B079D"/>
    <w:rsid w:val="592F3D67"/>
    <w:rsid w:val="59E31D5C"/>
    <w:rsid w:val="59EB580C"/>
    <w:rsid w:val="5A0E7FBB"/>
    <w:rsid w:val="5AC34CA0"/>
    <w:rsid w:val="5AE33500"/>
    <w:rsid w:val="5D1A7E19"/>
    <w:rsid w:val="5D3D1E1E"/>
    <w:rsid w:val="5DFE20BC"/>
    <w:rsid w:val="5F0B706D"/>
    <w:rsid w:val="5F51262F"/>
    <w:rsid w:val="5FA7435D"/>
    <w:rsid w:val="606271CC"/>
    <w:rsid w:val="607C0BFC"/>
    <w:rsid w:val="60E90007"/>
    <w:rsid w:val="613977F6"/>
    <w:rsid w:val="61DB4560"/>
    <w:rsid w:val="638D4956"/>
    <w:rsid w:val="643532FE"/>
    <w:rsid w:val="65D4341E"/>
    <w:rsid w:val="66803B9D"/>
    <w:rsid w:val="669A0905"/>
    <w:rsid w:val="671B40DE"/>
    <w:rsid w:val="67CE2F33"/>
    <w:rsid w:val="68B856CF"/>
    <w:rsid w:val="699D578E"/>
    <w:rsid w:val="6B58224E"/>
    <w:rsid w:val="6B717C43"/>
    <w:rsid w:val="6D2C4DF1"/>
    <w:rsid w:val="6D535020"/>
    <w:rsid w:val="6F40066D"/>
    <w:rsid w:val="6FC34914"/>
    <w:rsid w:val="7082117D"/>
    <w:rsid w:val="70F01CD9"/>
    <w:rsid w:val="72885C30"/>
    <w:rsid w:val="72C56747"/>
    <w:rsid w:val="74833EE1"/>
    <w:rsid w:val="769D5092"/>
    <w:rsid w:val="76E634BF"/>
    <w:rsid w:val="773A5EC6"/>
    <w:rsid w:val="784F3DFA"/>
    <w:rsid w:val="787451DB"/>
    <w:rsid w:val="788E4A9F"/>
    <w:rsid w:val="78A81B66"/>
    <w:rsid w:val="79F36889"/>
    <w:rsid w:val="7AC13E85"/>
    <w:rsid w:val="7B510EA4"/>
    <w:rsid w:val="7C143C69"/>
    <w:rsid w:val="7C7A0A71"/>
    <w:rsid w:val="7CBD714A"/>
    <w:rsid w:val="7D7A464A"/>
    <w:rsid w:val="7E0A61AE"/>
    <w:rsid w:val="7FE35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2"/>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nhideWhenUsed/>
    <w:qFormat/>
    <w:uiPriority w:val="1"/>
    <w:pPr>
      <w:spacing w:beforeLines="0" w:afterLines="0" w:line="207" w:lineRule="exact"/>
      <w:ind w:left="40"/>
    </w:pPr>
    <w:rPr>
      <w:rFonts w:hint="default"/>
      <w:sz w:val="17"/>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Default"/>
    <w:unhideWhenUsed/>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rPr>
  </w:style>
  <w:style w:type="paragraph" w:styleId="7">
    <w:name w:val="List Paragraph"/>
    <w:basedOn w:val="1"/>
    <w:unhideWhenUsed/>
    <w:qFormat/>
    <w:uiPriority w:val="1"/>
    <w:pPr>
      <w:spacing w:beforeLines="0" w:afterLines="0"/>
    </w:pPr>
    <w:rPr>
      <w:rFonts w:hint="default"/>
      <w:sz w:val="24"/>
    </w:rPr>
  </w:style>
  <w:style w:type="paragraph" w:customStyle="1" w:styleId="8">
    <w:name w:val="Table Paragraph"/>
    <w:basedOn w:val="1"/>
    <w:unhideWhenUsed/>
    <w:qFormat/>
    <w:uiPriority w:val="1"/>
    <w:pPr>
      <w:spacing w:beforeLines="0" w:afterLines="0"/>
    </w:pPr>
    <w:rPr>
      <w:rFonts w:hint="default"/>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2018-05-22T12:45:00Z</dcterms:created>
  <dc:creator>陈先森 Anesthetist</dc:creator>
  <cp:lastModifiedBy>陈先森 Anesthetist</cp:lastModifiedBy>
  <dcterms:modified xsi:type="dcterms:W3CDTF">2018-09-02T13:06:51Z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